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4" w:type="dxa"/>
            <w:tcBorders>
              <w:top w:val="nil"/>
              <w:left w:val="nil"/>
              <w:bottom w:val="nil"/>
              <w:right w:val="nil"/>
            </w:tcBorders>
            <w:shd w:val="clear" w:color="auto" w:fill="auto"/>
          </w:tcPr>
          <w:p>
            <w:pPr>
              <w:pStyle w:val="131"/>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4445" b="3810"/>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K4v7NUAAAAHAQAADwAAAAAAAAABACAAAAAiAAAAZHJz&#10;L2Rvd25yZXYueG1sUEsBAhQAFAAAAAgAh07iQFgc+xwHAgAA5AMAAA4AAAAAAAAAAQAgAAAAJAEA&#10;AGRycy9lMm9Eb2MueG1sUEsFBgAAAAAGAAYAWQEAAJ0FAAAAAA==&#10;">
                      <v:fill on="t" focussize="0,0"/>
                      <v:stroke on="f"/>
                      <v:imagedata o:title=""/>
                      <o:lock v:ext="edit" aspectratio="f"/>
                      <v:textbox>
                        <w:txbxContent>
                          <w:p>
                            <w:pPr>
                              <w:jc w:val="center"/>
                            </w:pPr>
                          </w:p>
                        </w:txbxContent>
                      </v:textbox>
                    </v:rect>
                  </w:pict>
                </mc:Fallback>
              </mc:AlternateContent>
            </w:r>
          </w:p>
        </w:tc>
      </w:tr>
    </w:tbl>
    <w:p>
      <w:pPr>
        <w:pStyle w:val="115"/>
      </w:pPr>
      <w:r>
        <w:t>DB</w:t>
      </w:r>
      <w:bookmarkStart w:id="0"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45</w:t>
      </w:r>
      <w:r>
        <w:fldChar w:fldCharType="end"/>
      </w:r>
      <w:bookmarkEnd w:id="0"/>
    </w:p>
    <w:p>
      <w:pPr>
        <w:pStyle w:val="116"/>
      </w:pPr>
      <w:bookmarkStart w:id="1" w:name="c4"/>
      <w:r>
        <w:fldChar w:fldCharType="begin">
          <w:ffData>
            <w:name w:val="c4"/>
            <w:enabled/>
            <w:calcOnExit w:val="0"/>
            <w:entryMacro w:val="showhelp12"/>
            <w:textInput/>
          </w:ffData>
        </w:fldChar>
      </w:r>
      <w:r>
        <w:instrText xml:space="preserve"> FORMTEXT </w:instrText>
      </w:r>
      <w:r>
        <w:fldChar w:fldCharType="separate"/>
      </w:r>
      <w:r>
        <w:rPr>
          <w:rFonts w:hint="eastAsia"/>
        </w:rPr>
        <w:t>广西壮族自治区</w:t>
      </w:r>
      <w:r>
        <w:fldChar w:fldCharType="end"/>
      </w:r>
      <w:bookmarkEnd w:id="1"/>
      <w:r>
        <w:rPr>
          <w:rFonts w:hint="eastAsia"/>
        </w:rPr>
        <w:t>地方标准</w:t>
      </w:r>
    </w:p>
    <w:p>
      <w:pPr>
        <w:pStyle w:val="52"/>
      </w:pPr>
      <w:r>
        <w:rPr>
          <w:rFonts w:ascii="Times New Roman"/>
        </w:rPr>
        <w:t xml:space="preserve">DB </w:t>
      </w:r>
      <w:bookmarkStart w:id="2"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rPr>
        <w:t>45</w:t>
      </w:r>
      <w:r>
        <w:fldChar w:fldCharType="end"/>
      </w:r>
      <w:bookmarkEnd w:id="2"/>
      <w:r>
        <w:t>/</w:t>
      </w:r>
      <w:bookmarkStart w:id="3" w:name="StdNo1"/>
      <w:r>
        <w:fldChar w:fldCharType="begin">
          <w:ffData>
            <w:name w:val="StdNo1"/>
            <w:enabled/>
            <w:calcOnExit w:val="0"/>
            <w:textInput>
              <w:default w:val="XXXXX"/>
            </w:textInput>
          </w:ffData>
        </w:fldChar>
      </w:r>
      <w:r>
        <w:instrText xml:space="preserve"> FORMTEXT </w:instrText>
      </w:r>
      <w:r>
        <w:fldChar w:fldCharType="separate"/>
      </w:r>
      <w:r>
        <w:rPr>
          <w:rFonts w:hint="eastAsia"/>
        </w:rPr>
        <w:t xml:space="preserve">T </w:t>
      </w:r>
      <w:r>
        <w:t>XXXXX</w:t>
      </w:r>
      <w:r>
        <w:fldChar w:fldCharType="end"/>
      </w:r>
      <w:bookmarkEnd w:id="3"/>
      <w:r>
        <w:t>—</w:t>
      </w:r>
      <w:r>
        <w:rPr>
          <w:rFonts w:hint="eastAsia"/>
        </w:rPr>
        <w:t>20</w:t>
      </w:r>
      <w:r>
        <w:t>20</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81"/>
            </w:pPr>
            <w:bookmarkStart w:id="4"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4"/>
          </w:p>
        </w:tc>
      </w:tr>
    </w:tbl>
    <w:p>
      <w:pPr>
        <w:pStyle w:val="52"/>
      </w:pPr>
    </w:p>
    <w:p>
      <w:pPr>
        <w:pStyle w:val="52"/>
      </w:pPr>
    </w:p>
    <w:p>
      <w:pPr>
        <w:pStyle w:val="84"/>
        <w:rPr>
          <w:sz w:val="32"/>
        </w:rPr>
      </w:pPr>
      <w:r>
        <w:rPr>
          <w:rFonts w:hint="eastAsia"/>
          <w:sz w:val="32"/>
        </w:rPr>
        <w:t>绿色食品  甜橙生产技术规程</w:t>
      </w:r>
    </w:p>
    <w:p>
      <w:pPr>
        <w:pStyle w:val="85"/>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6"/>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4281805</wp:posOffset>
                      </wp:positionV>
                      <wp:extent cx="1905000" cy="254000"/>
                      <wp:effectExtent l="0" t="0" r="3175" b="317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337.15pt;height:20pt;width:150pt;z-index:-251653120;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X9+DXAAAACwEAAA8AAAAAAAAAAQAgAAAAIgAAAGRycy9k&#10;b3ducmV2LnhtbFBLAQIUABQAAAAIAIdO4kDl4at1AwIAAOUDAAAOAAAAAAAAAAEAIAAAACYBAABk&#10;cnMvZTJvRG9jLnhtbFBLBQYAAAAABgAGAFkBAACbBQAAAAA=&#10;">
                      <v:fill on="t" focussize="0,0"/>
                      <v:stroke on="f"/>
                      <v:imagedata o:title=""/>
                      <o:lock v:ext="edit" aspectratio="f"/>
                      <v:textbox>
                        <w:txbxContent>
                          <w:p>
                            <w:pPr>
                              <w:jc w:val="center"/>
                            </w:pPr>
                          </w:p>
                        </w:txbxContent>
                      </v:textbox>
                      <w10:anchorlock/>
                    </v:rect>
                  </w:pict>
                </mc:Fallback>
              </mc:AlternateContent>
            </w:r>
            <w:r>
              <w:rPr>
                <w:rFonts w:hint="eastAsia"/>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7"/>
            </w:pPr>
            <w:bookmarkStart w:id="5" w:name="WCRQ"/>
            <w:r>
              <w:fldChar w:fldCharType="begin">
                <w:ffData>
                  <w:name w:val="WCRQ"/>
                  <w:enabled/>
                  <w:calcOnExit w:val="0"/>
                  <w:textInput/>
                </w:ffData>
              </w:fldChar>
            </w:r>
            <w:r>
              <w:instrText xml:space="preserve"> FORMTEXT </w:instrText>
            </w:r>
            <w:r>
              <w:fldChar w:fldCharType="separate"/>
            </w:r>
            <w:r>
              <w:t>     </w:t>
            </w:r>
            <w:r>
              <w:fldChar w:fldCharType="end"/>
            </w:r>
            <w:bookmarkEnd w:id="5"/>
          </w:p>
        </w:tc>
      </w:tr>
    </w:tbl>
    <w:p>
      <w:pPr>
        <w:pStyle w:val="139"/>
        <w:numPr>
          <w:ilvl w:val="0"/>
          <w:numId w:val="0"/>
        </w:numPr>
      </w:pPr>
      <w:r>
        <w:rPr>
          <w:rFonts w:hint="eastAsia" w:ascii="黑体"/>
        </w:rPr>
        <w:t>20</w:t>
      </w:r>
      <w:r>
        <w:rPr>
          <w:rFonts w:ascii="黑体"/>
        </w:rPr>
        <w:t>20-</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6"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WHazzWAAAACwEAAA8AAAAAAAAAAQAgAAAAIgAAAGRycy9kb3du&#10;cmV2LnhtbFBLAQIUABQAAAAIAIdO4kBJuDIyyAEAAF4DAAAOAAAAAAAAAAEAIAAAACUBAABkcnMv&#10;ZTJvRG9jLnhtbFBLBQYAAAAABgAGAFkBAABfBQAAAAA=&#10;">
                <v:fill on="f" focussize="0,0"/>
                <v:stroke color="#000000" joinstyle="round"/>
                <v:imagedata o:title=""/>
                <o:lock v:ext="edit" aspectratio="f"/>
                <w10:anchorlock/>
              </v:line>
            </w:pict>
          </mc:Fallback>
        </mc:AlternateContent>
      </w:r>
    </w:p>
    <w:p>
      <w:pPr>
        <w:pStyle w:val="140"/>
      </w:pPr>
      <w:r>
        <w:rPr>
          <w:rFonts w:hint="eastAsia" w:ascii="黑体"/>
        </w:rPr>
        <w:t>20</w:t>
      </w:r>
      <w:r>
        <w:rPr>
          <w:rFonts w:ascii="黑体"/>
        </w:rPr>
        <w:t>20-</w:t>
      </w:r>
      <w:r>
        <w:t xml:space="preserve"> </w:t>
      </w:r>
      <w:bookmarkStart w:id="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bookmarkStart w:id="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pPr>
        <w:pStyle w:val="117"/>
        <w:sectPr>
          <w:pgSz w:w="11906" w:h="16838"/>
          <w:pgMar w:top="567" w:right="850" w:bottom="1134" w:left="1418" w:header="0" w:footer="0" w:gutter="0"/>
          <w:pgNumType w:start="1"/>
          <w:cols w:space="425" w:num="1"/>
          <w:docGrid w:type="lines" w:linePitch="312" w:charSpace="0"/>
        </w:sectPr>
      </w:pPr>
      <w:bookmarkStart w:id="9" w:name="fm"/>
      <w:r>
        <w:rPr>
          <w:w w:val="100"/>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3175" t="0" r="3175" b="3175"/>
                <wp:wrapNone/>
                <wp:docPr id="9" name="矩形 9"/>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m17tbZAAAADQEAAA8AAAAAAAAAAQAgAAAAIgAAAGRycy9k&#10;b3ducmV2LnhtbFBLAQIUABQAAAAIAIdO4kDjhIIXAQIAAOMDAAAOAAAAAAAAAAEAIAAAACgBAABk&#10;cnMvZTJvRG9jLnhtbFBLBQYAAAAABgAGAFkBAACbBQAAAAA=&#10;">
                <v:fill on="t" focussize="0,0"/>
                <v:stroke on="f"/>
                <v:imagedata o:title=""/>
                <o:lock v:ext="edit" aspectratio="f"/>
                <v:textbox>
                  <w:txbxContent>
                    <w:p>
                      <w:pPr>
                        <w:jc w:val="center"/>
                      </w:pPr>
                    </w:p>
                  </w:txbxContent>
                </v:textbox>
              </v:rect>
            </w:pict>
          </mc:Fallback>
        </mc:AlternateContent>
      </w:r>
      <w:r>
        <w:rPr>
          <w:w w:val="100"/>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3175" b="0"/>
                <wp:wrapNone/>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8mKEdoAAAAPAQAADwAAAAAAAAABACAAAAAiAAAAZHJz&#10;L2Rvd25yZXYueG1sUEsBAhQAFAAAAAgAh07iQP9nD6gCAgAA4wMAAA4AAAAAAAAAAQAgAAAAKQEA&#10;AGRycy9lMm9Eb2MueG1sUEsFBgAAAAAGAAYAWQEAAJ0FAAAAAA==&#10;">
                <v:fill on="t" focussize="0,0"/>
                <v:stroke on="f"/>
                <v:imagedata o:title=""/>
                <o:lock v:ext="edit" aspectratio="f"/>
                <v:textbox>
                  <w:txbxContent>
                    <w:p>
                      <w:pPr>
                        <w:jc w:val="center"/>
                      </w:pPr>
                    </w:p>
                  </w:txbxContent>
                </v:textbox>
              </v:rect>
            </w:pict>
          </mc:Fallback>
        </mc:AlternateContent>
      </w:r>
      <w:r>
        <w:rPr>
          <w:w w:val="100"/>
        </w:rPr>
        <mc:AlternateContent>
          <mc:Choice Requires="wps">
            <w:drawing>
              <wp:anchor distT="0" distB="0" distL="114300" distR="114300" simplePos="0" relativeHeight="251660288" behindDoc="0" locked="0" layoutInCell="1" allowOverlap="1">
                <wp:simplePos x="0" y="0"/>
                <wp:positionH relativeFrom="column">
                  <wp:posOffset>-464820</wp:posOffset>
                </wp:positionH>
                <wp:positionV relativeFrom="paragraph">
                  <wp:posOffset>-7021195</wp:posOffset>
                </wp:positionV>
                <wp:extent cx="6120130" cy="0"/>
                <wp:effectExtent l="13970" t="13970" r="9525" b="508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6pt;margin-top:-552.85pt;height:0pt;width:481.9pt;z-index:25166028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yWRoNgAAAAPAQAADwAAAAAAAAABACAAAAAiAAAAZHJzL2Rv&#10;d25yZXYueG1sUEsBAhQAFAAAAAgAh07iQFc2OkDIAQAAXAMAAA4AAAAAAAAAAQAgAAAAJwEAAGRy&#10;cy9lMm9Eb2MueG1sUEsFBgAAAAAGAAYAWQEAAGEFAAAAAA==&#10;">
                <v:fill on="f" focussize="0,0"/>
                <v:stroke color="#000000" joinstyle="round"/>
                <v:imagedata o:title=""/>
                <o:lock v:ext="edit" aspectratio="f"/>
              </v:line>
            </w:pict>
          </mc:Fallback>
        </mc:AlternateContent>
      </w:r>
      <w:bookmarkEnd w:id="9"/>
      <w:r>
        <w:rPr>
          <w:rFonts w:hint="eastAsia"/>
          <w:w w:val="100"/>
          <w:lang w:eastAsia="zh-CN"/>
        </w:rPr>
        <w:t>广西壮族自治区市场监督管理局</w:t>
      </w:r>
      <w:r>
        <w:t>  </w:t>
      </w:r>
      <w:r>
        <w:rPr>
          <w:rStyle w:val="78"/>
          <w:rFonts w:hint="eastAsia"/>
        </w:rPr>
        <w:t>发布</w:t>
      </w:r>
    </w:p>
    <w:p>
      <w:pPr>
        <w:pStyle w:val="118"/>
      </w:pPr>
      <w:bookmarkStart w:id="10" w:name="_Toc402195369"/>
      <w:r>
        <w:rPr>
          <w:rFonts w:hint="eastAsia"/>
        </w:rPr>
        <w:t>前</w:t>
      </w:r>
      <w:bookmarkStart w:id="11" w:name="BKQY"/>
      <w:r>
        <w:t>  </w:t>
      </w:r>
      <w:r>
        <w:rPr>
          <w:rFonts w:hint="eastAsia"/>
        </w:rPr>
        <w:t>言</w:t>
      </w:r>
      <w:bookmarkEnd w:id="10"/>
      <w:bookmarkEnd w:id="11"/>
    </w:p>
    <w:p>
      <w:pPr>
        <w:pStyle w:val="23"/>
      </w:pPr>
      <w:r>
        <w:rPr>
          <w:rFonts w:hint="eastAsia"/>
        </w:rPr>
        <w:t>本标准依据</w:t>
      </w:r>
      <w:r>
        <w:t>GB/T 1.1</w:t>
      </w:r>
      <w:r>
        <w:rPr>
          <w:rFonts w:hint="eastAsia"/>
        </w:rPr>
        <w:t>—</w:t>
      </w:r>
      <w:r>
        <w:t>200</w:t>
      </w:r>
      <w:r>
        <w:rPr>
          <w:rFonts w:hint="eastAsia"/>
        </w:rPr>
        <w:t>9给出的规则编制。</w:t>
      </w:r>
      <w:r>
        <w:t xml:space="preserve"> </w:t>
      </w:r>
    </w:p>
    <w:p>
      <w:pPr>
        <w:pStyle w:val="23"/>
      </w:pPr>
      <w:r>
        <w:rPr>
          <w:rFonts w:hint="eastAsia"/>
        </w:rPr>
        <w:t>本标准由广西农业农村厅提出。</w:t>
      </w:r>
    </w:p>
    <w:p>
      <w:pPr>
        <w:pStyle w:val="23"/>
        <w:rPr>
          <w:rFonts w:ascii="仿宋_GB2312" w:hAnsi="宋体"/>
          <w:sz w:val="24"/>
        </w:rPr>
      </w:pPr>
      <w:r>
        <w:rPr>
          <w:rFonts w:hint="eastAsia"/>
        </w:rPr>
        <w:t>本标准起草单位：</w:t>
      </w:r>
      <w:r>
        <w:rPr>
          <w:rFonts w:hint="eastAsia" w:ascii="仿宋_GB2312" w:hAnsi="宋体"/>
          <w:sz w:val="24"/>
        </w:rPr>
        <w:t xml:space="preserve"> </w:t>
      </w:r>
      <w:r>
        <w:rPr>
          <w:rFonts w:hint="eastAsia" w:ascii="仿宋_GB2312" w:hAnsi="宋体"/>
          <w:sz w:val="22"/>
        </w:rPr>
        <w:t>广西大学</w:t>
      </w:r>
    </w:p>
    <w:p>
      <w:pPr>
        <w:pStyle w:val="23"/>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r>
        <w:rPr>
          <w:rFonts w:hint="eastAsia"/>
        </w:rPr>
        <w:t>本标准主要起草人：黄桂香，何新华，陆温，李峰，韦杰，葛聪聪，黄世炎，邱发发</w:t>
      </w:r>
    </w:p>
    <w:p>
      <w:pPr>
        <w:pStyle w:val="50"/>
        <w:numPr>
          <w:ilvl w:val="0"/>
          <w:numId w:val="0"/>
        </w:numPr>
        <w:jc w:val="center"/>
        <w:rPr>
          <w:rFonts w:hint="default" w:eastAsia="黑体"/>
          <w:lang w:val="en-US" w:eastAsia="zh-CN"/>
        </w:rPr>
      </w:pPr>
      <w:r>
        <w:rPr>
          <w:rFonts w:hint="eastAsia"/>
          <w:sz w:val="32"/>
          <w:szCs w:val="32"/>
          <w:lang w:val="en-US" w:eastAsia="zh-CN"/>
        </w:rPr>
        <w:t>绿色食品 甜橙生产技术规程</w:t>
      </w:r>
    </w:p>
    <w:p>
      <w:pPr>
        <w:pStyle w:val="50"/>
        <w:numPr>
          <w:ilvl w:val="0"/>
          <w:numId w:val="0"/>
        </w:numPr>
        <w:rPr>
          <w:rFonts w:hint="eastAsia"/>
        </w:rPr>
      </w:pPr>
    </w:p>
    <w:p>
      <w:pPr>
        <w:pStyle w:val="50"/>
        <w:numPr>
          <w:ilvl w:val="0"/>
          <w:numId w:val="0"/>
        </w:numPr>
      </w:pPr>
      <w:r>
        <w:rPr>
          <w:rFonts w:hint="eastAsia"/>
        </w:rPr>
        <w:t>1范围</w:t>
      </w:r>
    </w:p>
    <w:p>
      <w:pPr>
        <w:pStyle w:val="23"/>
      </w:pPr>
      <w:r>
        <w:rPr>
          <w:rFonts w:hint="eastAsia"/>
        </w:rPr>
        <w:t>本标准规定了绿色食品（A）甜橙生产技术规程，内容包括品种、苗木、建园、定植、土壤管理、施肥管理、水分管理、树体管理、花果管理、病虫害综合防控和果实采收。</w:t>
      </w:r>
    </w:p>
    <w:p>
      <w:pPr>
        <w:pStyle w:val="23"/>
      </w:pPr>
      <w:r>
        <w:rPr>
          <w:rFonts w:hint="eastAsia"/>
        </w:rPr>
        <w:t>本标准适用于广西区绿色食品 甜橙的生产。</w:t>
      </w:r>
    </w:p>
    <w:p>
      <w:pPr>
        <w:pStyle w:val="50"/>
        <w:numPr>
          <w:ilvl w:val="0"/>
          <w:numId w:val="0"/>
        </w:numPr>
      </w:pPr>
      <w:r>
        <w:rPr>
          <w:rFonts w:hint="eastAsia"/>
        </w:rPr>
        <w:t>2规范性引用文件</w:t>
      </w:r>
    </w:p>
    <w:p>
      <w:pPr>
        <w:pStyle w:val="23"/>
      </w:pPr>
      <w:r>
        <w:rPr>
          <w:rFonts w:hint="eastAsia"/>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pPr>
        <w:pStyle w:val="23"/>
      </w:pPr>
    </w:p>
    <w:p>
      <w:pPr>
        <w:tabs>
          <w:tab w:val="left" w:pos="525"/>
        </w:tabs>
        <w:ind w:firstLine="315" w:firstLineChars="150"/>
        <w:rPr>
          <w:rFonts w:ascii="宋体"/>
          <w:kern w:val="0"/>
          <w:szCs w:val="20"/>
        </w:rPr>
      </w:pPr>
      <w:r>
        <w:rPr>
          <w:rFonts w:hint="eastAsia" w:ascii="宋体"/>
          <w:kern w:val="0"/>
          <w:szCs w:val="20"/>
        </w:rPr>
        <w:t>GB 4285  农药安全使用标准</w:t>
      </w:r>
    </w:p>
    <w:p>
      <w:pPr>
        <w:pStyle w:val="23"/>
        <w:ind w:firstLine="315" w:firstLineChars="150"/>
      </w:pPr>
      <w:r>
        <w:rPr>
          <w:rFonts w:hint="eastAsia"/>
        </w:rPr>
        <w:t>GB/T 8321  (所有部分)  农药合理使用准则</w:t>
      </w:r>
    </w:p>
    <w:p>
      <w:pPr>
        <w:pStyle w:val="23"/>
        <w:ind w:firstLine="315" w:firstLineChars="150"/>
      </w:pPr>
      <w:r>
        <w:t>GB 9659</w:t>
      </w:r>
      <w:r>
        <w:rPr>
          <w:rFonts w:hint="eastAsia"/>
        </w:rPr>
        <w:t>-2008</w:t>
      </w:r>
      <w:r>
        <w:t xml:space="preserve"> </w:t>
      </w:r>
      <w:r>
        <w:rPr>
          <w:rFonts w:hint="eastAsia"/>
        </w:rPr>
        <w:t>柑橘嫁接苗分级及检验</w:t>
      </w:r>
    </w:p>
    <w:p>
      <w:pPr>
        <w:pStyle w:val="23"/>
        <w:ind w:firstLine="315" w:firstLineChars="150"/>
      </w:pPr>
      <w:r>
        <w:rPr>
          <w:rFonts w:hint="eastAsia"/>
        </w:rPr>
        <w:t>NY-T 391-2013 绿色食品 产地环境质量</w:t>
      </w:r>
    </w:p>
    <w:p>
      <w:pPr>
        <w:pStyle w:val="23"/>
        <w:ind w:firstLine="315" w:firstLineChars="150"/>
      </w:pPr>
      <w:r>
        <w:t>NY</w:t>
      </w:r>
      <w:r>
        <w:rPr>
          <w:rFonts w:hint="eastAsia"/>
        </w:rPr>
        <w:t>／</w:t>
      </w:r>
      <w:r>
        <w:t xml:space="preserve">T 393 </w:t>
      </w:r>
      <w:r>
        <w:rPr>
          <w:rFonts w:hint="eastAsia"/>
        </w:rPr>
        <w:t>绿色食品</w:t>
      </w:r>
      <w:r>
        <w:t xml:space="preserve"> </w:t>
      </w:r>
      <w:r>
        <w:rPr>
          <w:rFonts w:hint="eastAsia"/>
        </w:rPr>
        <w:t>农药使用准则</w:t>
      </w:r>
    </w:p>
    <w:p>
      <w:pPr>
        <w:pStyle w:val="23"/>
        <w:ind w:firstLine="315" w:firstLineChars="150"/>
      </w:pPr>
      <w:r>
        <w:t>NY</w:t>
      </w:r>
      <w:r>
        <w:rPr>
          <w:rFonts w:hint="eastAsia"/>
        </w:rPr>
        <w:t>／</w:t>
      </w:r>
      <w:r>
        <w:t xml:space="preserve">T 394 </w:t>
      </w:r>
      <w:r>
        <w:rPr>
          <w:rFonts w:hint="eastAsia"/>
        </w:rPr>
        <w:t>绿色食品</w:t>
      </w:r>
      <w:r>
        <w:t xml:space="preserve"> </w:t>
      </w:r>
      <w:r>
        <w:rPr>
          <w:rFonts w:hint="eastAsia"/>
        </w:rPr>
        <w:t xml:space="preserve">肥料使用准则 </w:t>
      </w:r>
    </w:p>
    <w:p>
      <w:pPr>
        <w:pStyle w:val="23"/>
        <w:ind w:firstLine="315" w:firstLineChars="150"/>
      </w:pPr>
      <w:r>
        <w:rPr>
          <w:rFonts w:hint="eastAsia"/>
        </w:rPr>
        <w:t xml:space="preserve">NY-T 975-2006 柑橘栽培技术规程 </w:t>
      </w:r>
    </w:p>
    <w:p>
      <w:pPr>
        <w:pStyle w:val="23"/>
        <w:ind w:firstLine="315" w:firstLineChars="150"/>
      </w:pPr>
      <w:r>
        <w:rPr>
          <w:rFonts w:hint="eastAsia"/>
        </w:rPr>
        <w:t>NY-T 2044-2011 柑橘主要病虫害防治技术规范</w:t>
      </w:r>
    </w:p>
    <w:p>
      <w:pPr>
        <w:pStyle w:val="23"/>
        <w:ind w:firstLine="315" w:firstLineChars="150"/>
      </w:pPr>
      <w:r>
        <w:rPr>
          <w:rFonts w:hint="eastAsia"/>
        </w:rPr>
        <w:t>NY-T 426-2012 绿色食品 柑橘类水果</w:t>
      </w:r>
    </w:p>
    <w:p>
      <w:pPr>
        <w:pStyle w:val="23"/>
        <w:ind w:firstLine="315" w:firstLineChars="150"/>
      </w:pPr>
      <w:r>
        <w:t>DB45/T 200 绿色食品</w:t>
      </w:r>
      <w:r>
        <w:rPr>
          <w:rFonts w:hint="eastAsia"/>
        </w:rPr>
        <w:t xml:space="preserve"> </w:t>
      </w:r>
      <w:r>
        <w:t>柑桔生产技术规程</w:t>
      </w:r>
    </w:p>
    <w:p>
      <w:pPr>
        <w:spacing w:line="360" w:lineRule="exact"/>
        <w:rPr>
          <w:rFonts w:ascii="宋体"/>
          <w:kern w:val="0"/>
          <w:szCs w:val="20"/>
        </w:rPr>
      </w:pPr>
      <w:r>
        <w:rPr>
          <w:rFonts w:hint="eastAsia" w:ascii="宋体"/>
          <w:kern w:val="0"/>
          <w:szCs w:val="20"/>
        </w:rPr>
        <w:t xml:space="preserve"> </w:t>
      </w:r>
      <w:r>
        <w:rPr>
          <w:rFonts w:ascii="宋体"/>
          <w:kern w:val="0"/>
          <w:szCs w:val="20"/>
        </w:rPr>
        <w:t xml:space="preserve">  </w:t>
      </w:r>
    </w:p>
    <w:p>
      <w:pPr>
        <w:pStyle w:val="50"/>
        <w:numPr>
          <w:ilvl w:val="0"/>
          <w:numId w:val="0"/>
        </w:numPr>
      </w:pPr>
      <w:r>
        <w:rPr>
          <w:rFonts w:hint="eastAsia"/>
        </w:rPr>
        <w:t>3</w:t>
      </w:r>
      <w:r>
        <w:t xml:space="preserve"> </w:t>
      </w:r>
      <w:r>
        <w:rPr>
          <w:rFonts w:hint="eastAsia"/>
        </w:rPr>
        <w:t>甜橙生产技术</w:t>
      </w:r>
    </w:p>
    <w:p>
      <w:pPr>
        <w:pStyle w:val="23"/>
        <w:ind w:firstLine="0" w:firstLineChars="0"/>
        <w:rPr>
          <w:b/>
        </w:rPr>
      </w:pPr>
      <w:r>
        <w:rPr>
          <w:rFonts w:hint="eastAsia"/>
          <w:b/>
        </w:rPr>
        <w:t>3.1　品种</w:t>
      </w:r>
    </w:p>
    <w:p>
      <w:pPr>
        <w:pStyle w:val="23"/>
      </w:pPr>
      <w:r>
        <w:rPr>
          <w:rFonts w:hint="eastAsia"/>
        </w:rPr>
        <w:t>广西适载的甜橙优良品种有：纽荷尔脐橙、红江橙、鹿寨蜜橙、柳橙、埃及糖橙、奥林达夏橙和路德红夏橙等，可依据当地环境选择种植。</w:t>
      </w:r>
    </w:p>
    <w:p>
      <w:pPr>
        <w:pStyle w:val="23"/>
        <w:ind w:firstLine="0" w:firstLineChars="0"/>
      </w:pPr>
    </w:p>
    <w:p>
      <w:pPr>
        <w:pStyle w:val="23"/>
        <w:ind w:firstLine="0" w:firstLineChars="0"/>
        <w:rPr>
          <w:b/>
        </w:rPr>
      </w:pPr>
      <w:r>
        <w:rPr>
          <w:rFonts w:hint="eastAsia"/>
          <w:b/>
        </w:rPr>
        <w:t>3</w:t>
      </w:r>
      <w:r>
        <w:rPr>
          <w:b/>
        </w:rPr>
        <w:t xml:space="preserve">.2 </w:t>
      </w:r>
      <w:r>
        <w:rPr>
          <w:b/>
          <w:bCs/>
        </w:rPr>
        <w:t>苗木</w:t>
      </w:r>
    </w:p>
    <w:p>
      <w:pPr>
        <w:pStyle w:val="23"/>
      </w:pPr>
      <w:r>
        <w:rPr>
          <w:rFonts w:hint="eastAsia"/>
        </w:rPr>
        <w:t>选择品种纯正、无检疫性病虫害和生长健壮的合格嫁接苗或脱毒容器苗嫁接苗。苗木质量符合</w:t>
      </w:r>
      <w:r>
        <w:t>GB 9659</w:t>
      </w:r>
      <w:r>
        <w:rPr>
          <w:rFonts w:hint="eastAsia"/>
        </w:rPr>
        <w:t>-2008</w:t>
      </w:r>
      <w:r>
        <w:t xml:space="preserve"> </w:t>
      </w:r>
      <w:r>
        <w:rPr>
          <w:rFonts w:hint="eastAsia"/>
        </w:rPr>
        <w:t>柑橘嫁接苗分级及检验相关规定。</w:t>
      </w:r>
    </w:p>
    <w:p>
      <w:pPr>
        <w:pStyle w:val="23"/>
      </w:pPr>
    </w:p>
    <w:p>
      <w:pPr>
        <w:pStyle w:val="47"/>
        <w:numPr>
          <w:ilvl w:val="0"/>
          <w:numId w:val="0"/>
        </w:numPr>
        <w:rPr>
          <w:rFonts w:ascii="宋体" w:eastAsia="宋体"/>
          <w:b/>
          <w:szCs w:val="20"/>
        </w:rPr>
      </w:pPr>
      <w:r>
        <w:rPr>
          <w:rFonts w:hint="eastAsia"/>
          <w:b/>
        </w:rPr>
        <w:t>3.</w:t>
      </w:r>
      <w:r>
        <w:rPr>
          <w:b/>
        </w:rPr>
        <w:t xml:space="preserve">3 </w:t>
      </w:r>
      <w:r>
        <w:rPr>
          <w:rFonts w:hint="eastAsia" w:ascii="宋体" w:eastAsia="宋体"/>
          <w:b/>
          <w:szCs w:val="20"/>
        </w:rPr>
        <w:t>建园</w:t>
      </w:r>
    </w:p>
    <w:p>
      <w:pPr>
        <w:pStyle w:val="23"/>
        <w:ind w:firstLine="0" w:firstLineChars="0"/>
      </w:pPr>
      <w:r>
        <w:rPr>
          <w:rFonts w:hint="eastAsia"/>
        </w:rPr>
        <w:t>3</w:t>
      </w:r>
      <w:r>
        <w:t>.3.1 气候</w:t>
      </w:r>
    </w:p>
    <w:p>
      <w:pPr>
        <w:pStyle w:val="23"/>
        <w:ind w:firstLine="210" w:firstLineChars="100"/>
        <w:rPr>
          <w:rFonts w:hAnsi="宋体"/>
        </w:rPr>
      </w:pPr>
      <w:r>
        <w:rPr>
          <w:rFonts w:hint="eastAsia"/>
        </w:rPr>
        <w:t>年</w:t>
      </w:r>
      <w:r>
        <w:t>平均气温</w:t>
      </w:r>
      <w:r>
        <w:rPr>
          <w:rFonts w:hint="eastAsia"/>
        </w:rPr>
        <w:t>1</w:t>
      </w:r>
      <w:r>
        <w:t>7</w:t>
      </w:r>
      <w:r>
        <w:rPr>
          <w:rFonts w:hint="eastAsia" w:hAnsi="宋体"/>
        </w:rPr>
        <w:t>℃</w:t>
      </w:r>
      <w:r>
        <w:rPr>
          <w:rFonts w:hint="eastAsia"/>
        </w:rPr>
        <w:t>～2</w:t>
      </w:r>
      <w:r>
        <w:t>2</w:t>
      </w:r>
      <w:r>
        <w:rPr>
          <w:rFonts w:hint="eastAsia"/>
        </w:rPr>
        <w:t>.</w:t>
      </w:r>
      <w:r>
        <w:t>5</w:t>
      </w:r>
      <w:r>
        <w:rPr>
          <w:rFonts w:hint="eastAsia"/>
        </w:rPr>
        <w:t>℃，绝对最低温</w:t>
      </w:r>
      <w:r>
        <w:rPr>
          <w:rFonts w:hint="eastAsia" w:hAnsi="宋体"/>
        </w:rPr>
        <w:t>≧-</w:t>
      </w:r>
      <w:r>
        <w:rPr>
          <w:rFonts w:hAnsi="宋体"/>
        </w:rPr>
        <w:t>6</w:t>
      </w:r>
      <w:r>
        <w:rPr>
          <w:rFonts w:hint="eastAsia" w:hAnsi="宋体"/>
        </w:rPr>
        <w:t>℃，1月份平均气温≧</w:t>
      </w:r>
      <w:r>
        <w:rPr>
          <w:rFonts w:hAnsi="宋体"/>
        </w:rPr>
        <w:t>5</w:t>
      </w:r>
      <w:r>
        <w:rPr>
          <w:rFonts w:hint="eastAsia" w:hAnsi="宋体"/>
        </w:rPr>
        <w:t>℃，≧</w:t>
      </w:r>
      <w:r>
        <w:rPr>
          <w:rFonts w:hAnsi="宋体"/>
        </w:rPr>
        <w:t>10</w:t>
      </w:r>
      <w:r>
        <w:rPr>
          <w:rFonts w:hint="eastAsia" w:hAnsi="宋体"/>
        </w:rPr>
        <w:t>℃的年积温5</w:t>
      </w:r>
      <w:r>
        <w:rPr>
          <w:rFonts w:hAnsi="宋体"/>
        </w:rPr>
        <w:t>000</w:t>
      </w:r>
      <w:r>
        <w:rPr>
          <w:rFonts w:hint="eastAsia" w:hAnsi="宋体"/>
        </w:rPr>
        <w:t>度以上，年</w:t>
      </w:r>
      <w:r>
        <w:rPr>
          <w:rFonts w:hAnsi="宋体"/>
        </w:rPr>
        <w:t>平均日照时数</w:t>
      </w:r>
      <w:r>
        <w:rPr>
          <w:rFonts w:hint="eastAsia" w:hAnsi="宋体"/>
        </w:rPr>
        <w:t>约</w:t>
      </w:r>
      <w:r>
        <w:rPr>
          <w:rFonts w:hAnsi="宋体"/>
        </w:rPr>
        <w:t>1821</w:t>
      </w:r>
      <w:r>
        <w:rPr>
          <w:rFonts w:hint="eastAsia" w:hAnsi="宋体"/>
        </w:rPr>
        <w:t>h</w:t>
      </w:r>
      <w:r>
        <w:rPr>
          <w:rFonts w:hAnsi="宋体"/>
        </w:rPr>
        <w:t>。</w:t>
      </w:r>
    </w:p>
    <w:p>
      <w:pPr>
        <w:pStyle w:val="23"/>
        <w:ind w:firstLine="0" w:firstLineChars="0"/>
        <w:rPr>
          <w:rFonts w:hAnsi="宋体"/>
        </w:rPr>
      </w:pPr>
      <w:r>
        <w:rPr>
          <w:rFonts w:hint="eastAsia" w:hAnsi="宋体"/>
        </w:rPr>
        <w:t>3</w:t>
      </w:r>
      <w:r>
        <w:rPr>
          <w:rFonts w:hAnsi="宋体"/>
        </w:rPr>
        <w:t>.3.2 土壤</w:t>
      </w:r>
    </w:p>
    <w:p>
      <w:pPr>
        <w:pStyle w:val="23"/>
        <w:ind w:firstLine="0" w:firstLineChars="0"/>
        <w:rPr>
          <w:rFonts w:hAnsi="宋体"/>
          <w:color w:val="000000"/>
        </w:rPr>
      </w:pPr>
      <w:r>
        <w:rPr>
          <w:rFonts w:hint="eastAsia" w:hAnsi="宋体"/>
        </w:rPr>
        <w:t xml:space="preserve"> </w:t>
      </w:r>
      <w:r>
        <w:rPr>
          <w:rFonts w:hAnsi="宋体"/>
        </w:rPr>
        <w:t xml:space="preserve">  土质良好</w:t>
      </w:r>
      <w:r>
        <w:rPr>
          <w:rFonts w:hint="eastAsia" w:hAnsi="宋体"/>
        </w:rPr>
        <w:t>、土层深厚疏松，</w:t>
      </w:r>
      <w:r>
        <w:rPr>
          <w:rFonts w:hint="eastAsia" w:hAnsi="宋体"/>
          <w:color w:val="000000"/>
        </w:rPr>
        <w:t>土壤微酸性或中性，pH值5</w:t>
      </w:r>
      <w:r>
        <w:rPr>
          <w:rFonts w:hAnsi="宋体"/>
          <w:color w:val="000000"/>
        </w:rPr>
        <w:t>.5</w:t>
      </w:r>
      <w:r>
        <w:rPr>
          <w:rFonts w:hint="eastAsia" w:hAnsi="宋体"/>
          <w:color w:val="000000"/>
        </w:rPr>
        <w:t>-</w:t>
      </w:r>
      <w:r>
        <w:rPr>
          <w:rFonts w:hAnsi="宋体"/>
          <w:color w:val="000000"/>
        </w:rPr>
        <w:t>6.5</w:t>
      </w:r>
      <w:r>
        <w:rPr>
          <w:rFonts w:hint="eastAsia" w:hAnsi="宋体"/>
          <w:color w:val="000000"/>
        </w:rPr>
        <w:t>，有机质含量1</w:t>
      </w:r>
      <w:r>
        <w:rPr>
          <w:rFonts w:hAnsi="宋体"/>
          <w:color w:val="000000"/>
        </w:rPr>
        <w:t>.5</w:t>
      </w:r>
      <w:r>
        <w:rPr>
          <w:rFonts w:hint="eastAsia" w:hAnsi="宋体"/>
          <w:color w:val="000000"/>
        </w:rPr>
        <w:t>%</w:t>
      </w:r>
      <w:r>
        <w:rPr>
          <w:rFonts w:hAnsi="宋体"/>
          <w:color w:val="000000"/>
        </w:rPr>
        <w:t>以上</w:t>
      </w:r>
      <w:r>
        <w:rPr>
          <w:rFonts w:hint="eastAsia" w:hAnsi="宋体"/>
          <w:color w:val="000000"/>
        </w:rPr>
        <w:t>，地下水位1</w:t>
      </w:r>
      <w:r>
        <w:rPr>
          <w:rFonts w:hAnsi="宋体"/>
          <w:color w:val="000000"/>
        </w:rPr>
        <w:t>m以下</w:t>
      </w:r>
      <w:r>
        <w:rPr>
          <w:rFonts w:hint="eastAsia" w:hAnsi="宋体"/>
          <w:color w:val="000000"/>
        </w:rPr>
        <w:t>。其它条件应符合NY-T 391-2013</w:t>
      </w:r>
      <w:r>
        <w:rPr>
          <w:rFonts w:hAnsi="宋体"/>
          <w:color w:val="000000"/>
        </w:rPr>
        <w:t>相关</w:t>
      </w:r>
      <w:r>
        <w:rPr>
          <w:rFonts w:hint="eastAsia" w:hAnsi="宋体"/>
          <w:color w:val="000000"/>
        </w:rPr>
        <w:t>要求。</w:t>
      </w:r>
    </w:p>
    <w:p>
      <w:pPr>
        <w:pStyle w:val="23"/>
        <w:ind w:firstLine="0" w:firstLineChars="0"/>
        <w:rPr>
          <w:rFonts w:hAnsi="宋体"/>
        </w:rPr>
      </w:pPr>
      <w:r>
        <w:rPr>
          <w:rFonts w:hint="eastAsia" w:hAnsi="宋体"/>
        </w:rPr>
        <w:t>3</w:t>
      </w:r>
      <w:r>
        <w:rPr>
          <w:rFonts w:hAnsi="宋体"/>
        </w:rPr>
        <w:t>.3.3地形地势</w:t>
      </w:r>
    </w:p>
    <w:p>
      <w:pPr>
        <w:pStyle w:val="23"/>
        <w:ind w:firstLine="0" w:firstLineChars="0"/>
        <w:rPr>
          <w:rFonts w:hAnsi="宋体"/>
        </w:rPr>
      </w:pPr>
      <w:r>
        <w:rPr>
          <w:rFonts w:hint="eastAsia" w:hAnsi="宋体"/>
        </w:rPr>
        <w:t xml:space="preserve"> </w:t>
      </w:r>
      <w:r>
        <w:rPr>
          <w:rFonts w:hAnsi="宋体"/>
        </w:rPr>
        <w:t xml:space="preserve">  平地</w:t>
      </w:r>
      <w:r>
        <w:rPr>
          <w:rFonts w:hint="eastAsia" w:hAnsi="宋体"/>
        </w:rPr>
        <w:t>，</w:t>
      </w:r>
      <w:r>
        <w:rPr>
          <w:rFonts w:hAnsi="宋体"/>
        </w:rPr>
        <w:t>或坡度</w:t>
      </w:r>
      <w:r>
        <w:rPr>
          <w:rFonts w:hint="eastAsia" w:hAnsi="宋体"/>
        </w:rPr>
        <w:t>2</w:t>
      </w:r>
      <w:r>
        <w:rPr>
          <w:rFonts w:hAnsi="宋体"/>
        </w:rPr>
        <w:t>0</w:t>
      </w:r>
      <w:r>
        <w:rPr>
          <w:rFonts w:hint="eastAsia" w:hAnsi="宋体"/>
        </w:rPr>
        <w:t>º</w:t>
      </w:r>
      <w:r>
        <w:rPr>
          <w:rFonts w:hAnsi="宋体"/>
        </w:rPr>
        <w:t>以下的山坡地</w:t>
      </w:r>
      <w:r>
        <w:rPr>
          <w:rFonts w:hint="eastAsia" w:hAnsi="宋体"/>
        </w:rPr>
        <w:t>，</w:t>
      </w:r>
      <w:r>
        <w:rPr>
          <w:rFonts w:hAnsi="宋体"/>
        </w:rPr>
        <w:t>坡度6</w:t>
      </w:r>
      <w:r>
        <w:rPr>
          <w:rFonts w:hint="eastAsia" w:hAnsi="宋体"/>
        </w:rPr>
        <w:t>º</w:t>
      </w:r>
      <w:r>
        <w:rPr>
          <w:rFonts w:hAnsi="宋体"/>
        </w:rPr>
        <w:t>以</w:t>
      </w:r>
      <w:r>
        <w:rPr>
          <w:rFonts w:hint="eastAsia" w:hAnsi="宋体"/>
        </w:rPr>
        <w:t>上</w:t>
      </w:r>
      <w:r>
        <w:rPr>
          <w:rFonts w:hAnsi="宋体"/>
        </w:rPr>
        <w:t>的坡地建园时</w:t>
      </w:r>
      <w:r>
        <w:rPr>
          <w:rFonts w:hint="eastAsia" w:hAnsi="宋体"/>
        </w:rPr>
        <w:t>需</w:t>
      </w:r>
      <w:r>
        <w:rPr>
          <w:rFonts w:hAnsi="宋体"/>
        </w:rPr>
        <w:t>修筑等高梯田</w:t>
      </w:r>
      <w:r>
        <w:rPr>
          <w:rFonts w:hint="eastAsia" w:hAnsi="宋体"/>
        </w:rPr>
        <w:t>。</w:t>
      </w:r>
    </w:p>
    <w:p>
      <w:pPr>
        <w:pStyle w:val="23"/>
        <w:ind w:firstLine="0" w:firstLineChars="0"/>
        <w:rPr>
          <w:rFonts w:hAnsi="宋体"/>
        </w:rPr>
      </w:pPr>
      <w:r>
        <w:rPr>
          <w:rFonts w:hint="eastAsia" w:hAnsi="宋体"/>
        </w:rPr>
        <w:t>3</w:t>
      </w:r>
      <w:r>
        <w:rPr>
          <w:rFonts w:hAnsi="宋体"/>
        </w:rPr>
        <w:t>.3.4 产地环境</w:t>
      </w:r>
    </w:p>
    <w:p>
      <w:pPr>
        <w:pStyle w:val="23"/>
        <w:ind w:firstLine="0" w:firstLineChars="0"/>
      </w:pPr>
      <w:r>
        <w:rPr>
          <w:rFonts w:hint="eastAsia"/>
        </w:rPr>
        <w:t xml:space="preserve"> </w:t>
      </w:r>
      <w:r>
        <w:t xml:space="preserve"> 按</w:t>
      </w:r>
      <w:r>
        <w:rPr>
          <w:rFonts w:hint="eastAsia"/>
        </w:rPr>
        <w:t>《NY-T 391-2013</w:t>
      </w:r>
      <w:r>
        <w:t xml:space="preserve"> </w:t>
      </w:r>
      <w:r>
        <w:rPr>
          <w:rFonts w:hint="eastAsia"/>
        </w:rPr>
        <w:t>绿色食品 产地环境质量》规定执行。</w:t>
      </w:r>
    </w:p>
    <w:p>
      <w:pPr>
        <w:pStyle w:val="23"/>
        <w:ind w:firstLine="0" w:firstLineChars="0"/>
        <w:rPr>
          <w:bCs/>
        </w:rPr>
      </w:pPr>
    </w:p>
    <w:p>
      <w:pPr>
        <w:pStyle w:val="23"/>
        <w:ind w:firstLine="0" w:firstLineChars="0"/>
        <w:rPr>
          <w:bCs/>
        </w:rPr>
      </w:pPr>
      <w:r>
        <w:rPr>
          <w:rFonts w:hint="eastAsia"/>
          <w:bCs/>
        </w:rPr>
        <w:t>3.</w:t>
      </w:r>
      <w:r>
        <w:rPr>
          <w:bCs/>
        </w:rPr>
        <w:t>3</w:t>
      </w:r>
      <w:r>
        <w:rPr>
          <w:rFonts w:hint="eastAsia"/>
          <w:bCs/>
        </w:rPr>
        <w:t>.</w:t>
      </w:r>
      <w:r>
        <w:rPr>
          <w:bCs/>
        </w:rPr>
        <w:t>5</w:t>
      </w:r>
      <w:r>
        <w:rPr>
          <w:rFonts w:hint="eastAsia"/>
          <w:bCs/>
        </w:rPr>
        <w:t xml:space="preserve"> 园地规划</w:t>
      </w:r>
    </w:p>
    <w:p>
      <w:pPr>
        <w:pStyle w:val="23"/>
      </w:pPr>
      <w:r>
        <w:rPr>
          <w:rFonts w:hint="eastAsia"/>
        </w:rPr>
        <w:t>园地要划分小区,修筑必要的道路、排灌和蓄水、附属建筑等设施。平地或坡度在6°以下的缓坡地，栽植行向为南北向。坡度在6°～25°的丘陵山地，栽植行向与梯地走向相同，采用等高栽植。</w:t>
      </w:r>
    </w:p>
    <w:p>
      <w:pPr>
        <w:pStyle w:val="23"/>
        <w:ind w:firstLine="0" w:firstLineChars="0"/>
      </w:pPr>
      <w:r>
        <w:rPr>
          <w:bCs/>
        </w:rPr>
        <w:t>3.3.6</w:t>
      </w:r>
      <w:r>
        <w:rPr>
          <w:rFonts w:hint="eastAsia"/>
          <w:bCs/>
        </w:rPr>
        <w:t xml:space="preserve"> </w:t>
      </w:r>
      <w:r>
        <w:rPr>
          <w:bCs/>
        </w:rPr>
        <w:t>排水及防</w:t>
      </w:r>
      <w:r>
        <w:rPr>
          <w:rFonts w:hint="eastAsia"/>
          <w:bCs/>
        </w:rPr>
        <w:t>涝设施</w:t>
      </w:r>
    </w:p>
    <w:p>
      <w:pPr>
        <w:pStyle w:val="23"/>
      </w:pPr>
      <w:r>
        <w:t>平地果园四周挖深、宽各1.0m的排</w:t>
      </w:r>
      <w:r>
        <w:rPr>
          <w:rFonts w:hint="eastAsia"/>
        </w:rPr>
        <w:t>涝</w:t>
      </w:r>
      <w:r>
        <w:t>沟，园内根据面积设宽0.3m</w:t>
      </w:r>
      <w:r>
        <w:rPr>
          <w:rFonts w:hint="eastAsia"/>
        </w:rPr>
        <w:t>、</w:t>
      </w:r>
      <w:r>
        <w:t>深0.5m的十字排水沟若干，并与排</w:t>
      </w:r>
      <w:r>
        <w:rPr>
          <w:rFonts w:hint="eastAsia"/>
        </w:rPr>
        <w:t>涝</w:t>
      </w:r>
      <w:r>
        <w:t>沟相连。</w:t>
      </w:r>
    </w:p>
    <w:p>
      <w:pPr>
        <w:pStyle w:val="23"/>
      </w:pPr>
    </w:p>
    <w:p>
      <w:pPr>
        <w:pStyle w:val="23"/>
        <w:ind w:firstLine="0" w:firstLineChars="0"/>
        <w:rPr>
          <w:b/>
          <w:bCs/>
        </w:rPr>
      </w:pPr>
      <w:r>
        <w:rPr>
          <w:b/>
          <w:bCs/>
        </w:rPr>
        <w:t>3.4</w:t>
      </w:r>
      <w:r>
        <w:rPr>
          <w:rFonts w:hint="eastAsia"/>
          <w:b/>
          <w:bCs/>
        </w:rPr>
        <w:t xml:space="preserve"> 种植</w:t>
      </w:r>
    </w:p>
    <w:p>
      <w:pPr>
        <w:pStyle w:val="23"/>
        <w:ind w:firstLine="0" w:firstLineChars="0"/>
      </w:pPr>
      <w:r>
        <w:rPr>
          <w:bCs/>
        </w:rPr>
        <w:t>3.4</w:t>
      </w:r>
      <w:r>
        <w:rPr>
          <w:rFonts w:hint="eastAsia"/>
          <w:bCs/>
        </w:rPr>
        <w:t>.</w:t>
      </w:r>
      <w:r>
        <w:rPr>
          <w:bCs/>
        </w:rPr>
        <w:t>1</w:t>
      </w:r>
      <w:r>
        <w:rPr>
          <w:rFonts w:hint="eastAsia"/>
          <w:bCs/>
        </w:rPr>
        <w:t xml:space="preserve"> 种</w:t>
      </w:r>
      <w:r>
        <w:rPr>
          <w:bCs/>
        </w:rPr>
        <w:t>植时间</w:t>
      </w:r>
    </w:p>
    <w:p>
      <w:pPr>
        <w:pStyle w:val="23"/>
      </w:pPr>
      <w:r>
        <w:t>春植和秋植</w:t>
      </w:r>
      <w:r>
        <w:rPr>
          <w:rFonts w:hint="eastAsia"/>
        </w:rPr>
        <w:t>，</w:t>
      </w:r>
      <w:r>
        <w:t>有灌溉条件和采用容器合格苗的</w:t>
      </w:r>
      <w:r>
        <w:rPr>
          <w:rFonts w:hint="eastAsia"/>
        </w:rPr>
        <w:t>，全年均可栽植</w:t>
      </w:r>
      <w:r>
        <w:t>。春植时间</w:t>
      </w:r>
      <w:r>
        <w:rPr>
          <w:rFonts w:hint="eastAsia"/>
        </w:rPr>
        <w:t>在春芽萌动前的</w:t>
      </w:r>
      <w:r>
        <w:t>1</w:t>
      </w:r>
      <w:r>
        <w:rPr>
          <w:rFonts w:hint="eastAsia"/>
        </w:rPr>
        <w:t>月</w:t>
      </w:r>
      <w:r>
        <w:t>-3</w:t>
      </w:r>
      <w:r>
        <w:rPr>
          <w:rFonts w:hint="eastAsia"/>
        </w:rPr>
        <w:t>月进行；</w:t>
      </w:r>
      <w:r>
        <w:t>秋植时间为9月</w:t>
      </w:r>
      <w:r>
        <w:rPr>
          <w:rFonts w:hint="eastAsia"/>
        </w:rPr>
        <w:t>～</w:t>
      </w:r>
      <w:r>
        <w:t>10月，秋梢老熟后进行。</w:t>
      </w:r>
    </w:p>
    <w:p>
      <w:pPr>
        <w:pStyle w:val="23"/>
        <w:ind w:firstLine="0" w:firstLineChars="0"/>
      </w:pPr>
      <w:r>
        <w:rPr>
          <w:bCs/>
        </w:rPr>
        <w:t>3.4</w:t>
      </w:r>
      <w:r>
        <w:rPr>
          <w:rFonts w:hint="eastAsia"/>
          <w:bCs/>
        </w:rPr>
        <w:t>.</w:t>
      </w:r>
      <w:r>
        <w:rPr>
          <w:bCs/>
        </w:rPr>
        <w:t>2</w:t>
      </w:r>
      <w:r>
        <w:rPr>
          <w:rFonts w:hint="eastAsia"/>
          <w:bCs/>
        </w:rPr>
        <w:t xml:space="preserve"> 开垦及</w:t>
      </w:r>
      <w:r>
        <w:rPr>
          <w:bCs/>
        </w:rPr>
        <w:t>定植准备</w:t>
      </w:r>
    </w:p>
    <w:p>
      <w:pPr>
        <w:pStyle w:val="23"/>
      </w:pPr>
      <w:r>
        <w:t>整园全垦</w:t>
      </w:r>
      <w:r>
        <w:rPr>
          <w:rFonts w:hint="eastAsia"/>
        </w:rPr>
        <w:t>，</w:t>
      </w:r>
      <w:r>
        <w:t>在定植前</w:t>
      </w:r>
      <w:r>
        <w:rPr>
          <w:rFonts w:hint="eastAsia"/>
        </w:rPr>
        <w:t>2～</w:t>
      </w:r>
      <w:r>
        <w:t>3个月挖好定植坑</w:t>
      </w:r>
      <w:r>
        <w:rPr>
          <w:rFonts w:hint="eastAsia"/>
        </w:rPr>
        <w:t>/</w:t>
      </w:r>
      <w:r>
        <w:t>沟，定植坑深0.6m</w:t>
      </w:r>
      <w:r>
        <w:rPr>
          <w:rFonts w:hint="eastAsia"/>
        </w:rPr>
        <w:t>，长、</w:t>
      </w:r>
      <w:r>
        <w:t>宽0.8m</w:t>
      </w:r>
      <w:r>
        <w:rPr>
          <w:rFonts w:hint="eastAsia"/>
        </w:rPr>
        <w:t>Χ</w:t>
      </w:r>
      <w:r>
        <w:t>0.8m</w:t>
      </w:r>
      <w:r>
        <w:rPr>
          <w:rFonts w:hint="eastAsia"/>
        </w:rPr>
        <w:t>；</w:t>
      </w:r>
      <w:r>
        <w:t>种植沟0.6m</w:t>
      </w:r>
      <w:r>
        <w:rPr>
          <w:rFonts w:hint="eastAsia"/>
        </w:rPr>
        <w:t>，</w:t>
      </w:r>
      <w:r>
        <w:t>宽0.8m</w:t>
      </w:r>
      <w:r>
        <w:rPr>
          <w:rFonts w:hint="eastAsia"/>
        </w:rPr>
        <w:t>。</w:t>
      </w:r>
      <w:r>
        <w:t>挖坑时，表士与底土分开推放，回填时先填入表土，再填入与底土混均的有机肥</w:t>
      </w:r>
      <w:r>
        <w:rPr>
          <w:rFonts w:hint="eastAsia"/>
        </w:rPr>
        <w:t>约2</w:t>
      </w:r>
      <w:r>
        <w:t>5kg</w:t>
      </w:r>
      <w:r>
        <w:rPr>
          <w:rFonts w:hint="eastAsia"/>
        </w:rPr>
        <w:t>，石灰或钙镁磷肥各1</w:t>
      </w:r>
      <w:r>
        <w:t>kg，</w:t>
      </w:r>
      <w:r>
        <w:rPr>
          <w:rFonts w:hint="eastAsia"/>
        </w:rPr>
        <w:t>回</w:t>
      </w:r>
      <w:r>
        <w:t>填至距地面10cm处，最后再在其上面填表土约30cm。</w:t>
      </w:r>
    </w:p>
    <w:p>
      <w:pPr>
        <w:pStyle w:val="23"/>
        <w:ind w:firstLine="0" w:firstLineChars="0"/>
      </w:pPr>
      <w:r>
        <w:rPr>
          <w:bCs/>
        </w:rPr>
        <w:t>3.4</w:t>
      </w:r>
      <w:r>
        <w:rPr>
          <w:rFonts w:hint="eastAsia"/>
          <w:bCs/>
        </w:rPr>
        <w:t>.</w:t>
      </w:r>
      <w:r>
        <w:rPr>
          <w:bCs/>
        </w:rPr>
        <w:t>2</w:t>
      </w:r>
      <w:r>
        <w:rPr>
          <w:rFonts w:hint="eastAsia"/>
          <w:bCs/>
        </w:rPr>
        <w:t xml:space="preserve"> 种植</w:t>
      </w:r>
      <w:r>
        <w:rPr>
          <w:bCs/>
        </w:rPr>
        <w:t>密度</w:t>
      </w:r>
    </w:p>
    <w:p>
      <w:pPr>
        <w:pStyle w:val="23"/>
      </w:pPr>
      <w:r>
        <w:t>平地果园种植株行距2m</w:t>
      </w:r>
      <w:r>
        <w:rPr>
          <w:rFonts w:hAnsi="宋体"/>
        </w:rPr>
        <w:t>×</w:t>
      </w:r>
      <w:r>
        <w:t>4m</w:t>
      </w:r>
      <w:r>
        <w:rPr>
          <w:rFonts w:hint="eastAsia"/>
        </w:rPr>
        <w:t>或</w:t>
      </w:r>
      <w:r>
        <w:t>2m</w:t>
      </w:r>
      <w:r>
        <w:rPr>
          <w:rFonts w:hAnsi="宋体"/>
        </w:rPr>
        <w:t>×</w:t>
      </w:r>
      <w:r>
        <w:t>6m</w:t>
      </w:r>
      <w:r>
        <w:rPr>
          <w:rFonts w:hint="eastAsia"/>
        </w:rPr>
        <w:t>，每</w:t>
      </w:r>
      <w:r>
        <w:t>667m</w:t>
      </w:r>
      <w:r>
        <w:rPr>
          <w:vertAlign w:val="superscript"/>
        </w:rPr>
        <w:t>2</w:t>
      </w:r>
      <w:r>
        <w:t>种植83或</w:t>
      </w:r>
      <w:r>
        <w:rPr>
          <w:rFonts w:hint="eastAsia"/>
        </w:rPr>
        <w:t>5</w:t>
      </w:r>
      <w:r>
        <w:t>6株。山地果园根据地形和梯面等条件而定</w:t>
      </w:r>
      <w:r>
        <w:rPr>
          <w:rFonts w:hint="eastAsia"/>
        </w:rPr>
        <w:t>，一般</w:t>
      </w:r>
      <w:r>
        <w:t>株行距3m×4m</w:t>
      </w:r>
      <w:r>
        <w:rPr>
          <w:rFonts w:hint="eastAsia"/>
        </w:rPr>
        <w:t>。每</w:t>
      </w:r>
      <w:r>
        <w:t>667m</w:t>
      </w:r>
      <w:r>
        <w:rPr>
          <w:vertAlign w:val="superscript"/>
        </w:rPr>
        <w:t>2</w:t>
      </w:r>
      <w:r>
        <w:t>种植</w:t>
      </w:r>
      <w:r>
        <w:rPr>
          <w:rFonts w:hint="eastAsia"/>
        </w:rPr>
        <w:t>5</w:t>
      </w:r>
      <w:r>
        <w:t>6株</w:t>
      </w:r>
    </w:p>
    <w:p>
      <w:pPr>
        <w:pStyle w:val="23"/>
        <w:ind w:firstLine="0" w:firstLineChars="0"/>
      </w:pPr>
      <w:r>
        <w:rPr>
          <w:bCs/>
        </w:rPr>
        <w:t>3.4</w:t>
      </w:r>
      <w:r>
        <w:rPr>
          <w:rFonts w:hint="eastAsia"/>
          <w:bCs/>
        </w:rPr>
        <w:t>.</w:t>
      </w:r>
      <w:r>
        <w:rPr>
          <w:bCs/>
        </w:rPr>
        <w:t>4</w:t>
      </w:r>
      <w:r>
        <w:rPr>
          <w:rFonts w:hint="eastAsia"/>
          <w:bCs/>
        </w:rPr>
        <w:t xml:space="preserve"> </w:t>
      </w:r>
      <w:r>
        <w:rPr>
          <w:bCs/>
        </w:rPr>
        <w:t>定植</w:t>
      </w:r>
    </w:p>
    <w:p>
      <w:pPr>
        <w:pStyle w:val="23"/>
        <w:ind w:firstLine="0" w:firstLineChars="0"/>
      </w:pPr>
      <w:r>
        <w:rPr>
          <w:bCs/>
        </w:rPr>
        <w:t>3.4.4</w:t>
      </w:r>
      <w:r>
        <w:rPr>
          <w:rFonts w:hint="eastAsia"/>
          <w:bCs/>
        </w:rPr>
        <w:t>.</w:t>
      </w:r>
      <w:r>
        <w:rPr>
          <w:bCs/>
        </w:rPr>
        <w:t>1</w:t>
      </w:r>
      <w:r>
        <w:rPr>
          <w:rFonts w:hint="eastAsia"/>
          <w:bCs/>
        </w:rPr>
        <w:t xml:space="preserve"> </w:t>
      </w:r>
      <w:r>
        <w:rPr>
          <w:bCs/>
        </w:rPr>
        <w:t>苗木要求</w:t>
      </w:r>
    </w:p>
    <w:p>
      <w:pPr>
        <w:pStyle w:val="23"/>
      </w:pPr>
      <w:r>
        <w:rPr>
          <w:rFonts w:hint="eastAsia"/>
        </w:rPr>
        <w:t>参见3</w:t>
      </w:r>
      <w:r>
        <w:t>.2 苗木部分</w:t>
      </w:r>
    </w:p>
    <w:p>
      <w:pPr>
        <w:pStyle w:val="23"/>
        <w:ind w:firstLine="0" w:firstLineChars="0"/>
      </w:pPr>
      <w:r>
        <w:rPr>
          <w:bCs/>
        </w:rPr>
        <w:t>3.4.4</w:t>
      </w:r>
      <w:r>
        <w:rPr>
          <w:rFonts w:hint="eastAsia"/>
          <w:bCs/>
        </w:rPr>
        <w:t>.</w:t>
      </w:r>
      <w:r>
        <w:rPr>
          <w:bCs/>
        </w:rPr>
        <w:t>2苗木处理</w:t>
      </w:r>
    </w:p>
    <w:p>
      <w:pPr>
        <w:pStyle w:val="23"/>
      </w:pPr>
      <w:r>
        <w:t>剪去过长主根</w:t>
      </w:r>
      <w:r>
        <w:rPr>
          <w:rFonts w:hint="eastAsia"/>
        </w:rPr>
        <w:t>和</w:t>
      </w:r>
      <w:r>
        <w:t>受伤根、嫩枝叶，</w:t>
      </w:r>
      <w:r>
        <w:rPr>
          <w:rFonts w:hint="eastAsia"/>
        </w:rPr>
        <w:t>裸根苗</w:t>
      </w:r>
      <w:r>
        <w:t>定植前需用新鲜黄泥浆浆根。</w:t>
      </w:r>
    </w:p>
    <w:p>
      <w:pPr>
        <w:pStyle w:val="23"/>
        <w:ind w:firstLine="0" w:firstLineChars="0"/>
      </w:pPr>
      <w:r>
        <w:rPr>
          <w:rFonts w:hint="eastAsia"/>
        </w:rPr>
        <w:t>3</w:t>
      </w:r>
      <w:r>
        <w:t>.4.4.3 定植</w:t>
      </w:r>
    </w:p>
    <w:p>
      <w:pPr>
        <w:pStyle w:val="23"/>
      </w:pPr>
      <w:r>
        <w:t>按照种植密度</w:t>
      </w:r>
      <w:r>
        <w:rPr>
          <w:rFonts w:hint="eastAsia"/>
        </w:rPr>
        <w:t>，</w:t>
      </w:r>
      <w:r>
        <w:t>用石灰点出定植点</w:t>
      </w:r>
      <w:r>
        <w:rPr>
          <w:rFonts w:hint="eastAsia"/>
        </w:rPr>
        <w:t>，</w:t>
      </w:r>
      <w:r>
        <w:t>在定植</w:t>
      </w:r>
      <w:r>
        <w:rPr>
          <w:rFonts w:hint="eastAsia"/>
        </w:rPr>
        <w:t>点</w:t>
      </w:r>
      <w:r>
        <w:t>挖</w:t>
      </w:r>
      <w:r>
        <w:rPr>
          <w:rFonts w:hint="eastAsia"/>
        </w:rPr>
        <w:t>一洞</w:t>
      </w:r>
      <w:r>
        <w:t>穴，将苗木直立放入穴内，根系自然展开，然后回</w:t>
      </w:r>
      <w:r>
        <w:rPr>
          <w:rFonts w:hint="eastAsia"/>
        </w:rPr>
        <w:t>填</w:t>
      </w:r>
      <w:r>
        <w:t>少量细土，轻轻往上提苗，盖上细土压实，回填土至根颈上3cm处。</w:t>
      </w:r>
    </w:p>
    <w:p>
      <w:pPr>
        <w:pStyle w:val="23"/>
        <w:ind w:firstLine="0" w:firstLineChars="0"/>
      </w:pPr>
      <w:r>
        <w:rPr>
          <w:bCs/>
        </w:rPr>
        <w:t>3.4.4</w:t>
      </w:r>
      <w:r>
        <w:rPr>
          <w:rFonts w:hint="eastAsia"/>
          <w:bCs/>
        </w:rPr>
        <w:t>.</w:t>
      </w:r>
      <w:r>
        <w:rPr>
          <w:bCs/>
        </w:rPr>
        <w:t>4</w:t>
      </w:r>
      <w:r>
        <w:rPr>
          <w:rFonts w:hint="eastAsia"/>
          <w:bCs/>
        </w:rPr>
        <w:t xml:space="preserve"> 淋定根水和覆盖</w:t>
      </w:r>
    </w:p>
    <w:p>
      <w:pPr>
        <w:pStyle w:val="23"/>
      </w:pPr>
      <w:r>
        <w:t>种植完毕后立即淋足定根水，用草或防草地布等覆盖树盘。</w:t>
      </w:r>
    </w:p>
    <w:p>
      <w:pPr>
        <w:pStyle w:val="23"/>
      </w:pPr>
    </w:p>
    <w:p>
      <w:pPr>
        <w:pStyle w:val="23"/>
        <w:ind w:firstLine="0" w:firstLineChars="0"/>
        <w:rPr>
          <w:b/>
          <w:bCs/>
        </w:rPr>
      </w:pPr>
      <w:r>
        <w:rPr>
          <w:b/>
          <w:bCs/>
        </w:rPr>
        <w:t>3.5</w:t>
      </w:r>
      <w:r>
        <w:rPr>
          <w:rFonts w:hint="eastAsia"/>
          <w:b/>
          <w:bCs/>
        </w:rPr>
        <w:t xml:space="preserve"> </w:t>
      </w:r>
      <w:r>
        <w:rPr>
          <w:b/>
          <w:bCs/>
        </w:rPr>
        <w:t>土壤管理</w:t>
      </w:r>
    </w:p>
    <w:p>
      <w:pPr>
        <w:pStyle w:val="23"/>
        <w:ind w:firstLine="0" w:firstLineChars="0"/>
        <w:rPr>
          <w:bCs/>
        </w:rPr>
      </w:pPr>
      <w:r>
        <w:rPr>
          <w:bCs/>
        </w:rPr>
        <w:t>3.5</w:t>
      </w:r>
      <w:r>
        <w:rPr>
          <w:rFonts w:hint="eastAsia"/>
          <w:bCs/>
        </w:rPr>
        <w:t>.</w:t>
      </w:r>
      <w:r>
        <w:rPr>
          <w:bCs/>
        </w:rPr>
        <w:t xml:space="preserve">1 </w:t>
      </w:r>
      <w:r>
        <w:rPr>
          <w:rFonts w:hint="eastAsia"/>
          <w:bCs/>
        </w:rPr>
        <w:t xml:space="preserve">扩穴改土 </w:t>
      </w:r>
    </w:p>
    <w:p>
      <w:pPr>
        <w:pStyle w:val="23"/>
        <w:rPr>
          <w:bCs/>
        </w:rPr>
      </w:pPr>
      <w:r>
        <w:rPr>
          <w:rFonts w:hint="eastAsia"/>
          <w:bCs/>
        </w:rPr>
        <w:t>从苗木定植第二年开始，在秋梢停止生长后（</w:t>
      </w:r>
      <w:r>
        <w:t>11</w:t>
      </w:r>
      <w:r>
        <w:rPr>
          <w:rFonts w:hint="eastAsia"/>
        </w:rPr>
        <w:t>月～</w:t>
      </w:r>
      <w:r>
        <w:t>12</w:t>
      </w:r>
      <w:r>
        <w:rPr>
          <w:rFonts w:hint="eastAsia"/>
        </w:rPr>
        <w:t>月</w:t>
      </w:r>
      <w:r>
        <w:rPr>
          <w:rFonts w:hint="eastAsia"/>
          <w:bCs/>
        </w:rPr>
        <w:t>），在树冠1～</w:t>
      </w:r>
      <w:r>
        <w:rPr>
          <w:bCs/>
        </w:rPr>
        <w:t>2侧</w:t>
      </w:r>
      <w:r>
        <w:rPr>
          <w:rFonts w:hint="eastAsia"/>
          <w:bCs/>
        </w:rPr>
        <w:t>外围滴水线处，</w:t>
      </w:r>
      <w:r>
        <w:rPr>
          <w:rFonts w:hint="eastAsia"/>
        </w:rPr>
        <w:t>挖长×宽×深约为</w:t>
      </w:r>
      <w:r>
        <w:t>80cm</w:t>
      </w:r>
      <w:r>
        <w:rPr>
          <w:rFonts w:hint="eastAsia"/>
        </w:rPr>
        <w:t>×</w:t>
      </w:r>
      <w:r>
        <w:t>50cm</w:t>
      </w:r>
      <w:r>
        <w:rPr>
          <w:rFonts w:hint="eastAsia"/>
        </w:rPr>
        <w:t>×</w:t>
      </w:r>
      <w:r>
        <w:t>60cm</w:t>
      </w:r>
      <w:r>
        <w:rPr>
          <w:rFonts w:hint="eastAsia"/>
        </w:rPr>
        <w:t>的施肥坑，</w:t>
      </w:r>
      <w:r>
        <w:rPr>
          <w:rFonts w:hint="eastAsia"/>
          <w:bCs/>
        </w:rPr>
        <w:t>逐年轮换方位进行深耕扩穴改土，回填时，混合绿肥、秸杆、腐熟的人畜粪、堆肥和杂草等</w:t>
      </w:r>
      <w:r>
        <w:t>20kg</w:t>
      </w:r>
      <w:r>
        <w:rPr>
          <w:rFonts w:hint="eastAsia"/>
        </w:rPr>
        <w:t>～</w:t>
      </w:r>
      <w:r>
        <w:t>30kg</w:t>
      </w:r>
      <w:r>
        <w:rPr>
          <w:rFonts w:hint="eastAsia"/>
          <w:bCs/>
        </w:rPr>
        <w:t>，</w:t>
      </w:r>
      <w:r>
        <w:t>饼肥1kg</w:t>
      </w:r>
      <w:r>
        <w:rPr>
          <w:rFonts w:hint="eastAsia"/>
        </w:rPr>
        <w:t>～</w:t>
      </w:r>
      <w:r>
        <w:t>2kg、</w:t>
      </w:r>
      <w:r>
        <w:rPr>
          <w:rFonts w:hint="eastAsia"/>
        </w:rPr>
        <w:t>钙镁磷肥</w:t>
      </w:r>
      <w:r>
        <w:t>1kg</w:t>
      </w:r>
      <w:r>
        <w:rPr>
          <w:rFonts w:hint="eastAsia"/>
        </w:rPr>
        <w:t>、复合肥0</w:t>
      </w:r>
      <w:r>
        <w:t>.25</w:t>
      </w:r>
      <w:r>
        <w:rPr>
          <w:rFonts w:hint="eastAsia"/>
        </w:rPr>
        <w:t>～</w:t>
      </w:r>
      <w:r>
        <w:t>0.75</w:t>
      </w:r>
      <w:r>
        <w:rPr>
          <w:rFonts w:hint="eastAsia"/>
        </w:rPr>
        <w:t>kg</w:t>
      </w:r>
      <w:r>
        <w:t>与表土拌匀填入，挖坑位置逐年轮换和扩大</w:t>
      </w:r>
      <w:r>
        <w:rPr>
          <w:rFonts w:hint="eastAsia"/>
        </w:rPr>
        <w:t>，</w:t>
      </w:r>
      <w:r>
        <w:t>施肥量逐年增加。</w:t>
      </w:r>
      <w:r>
        <w:rPr>
          <w:rFonts w:hint="eastAsia"/>
          <w:bCs/>
        </w:rPr>
        <w:t>表土放底层，新土放表层，然后灌足水。</w:t>
      </w:r>
    </w:p>
    <w:p>
      <w:pPr>
        <w:pStyle w:val="23"/>
        <w:ind w:firstLine="0" w:firstLineChars="0"/>
      </w:pPr>
      <w:r>
        <w:rPr>
          <w:bCs/>
        </w:rPr>
        <w:t>3.5</w:t>
      </w:r>
      <w:r>
        <w:rPr>
          <w:rFonts w:hint="eastAsia"/>
          <w:bCs/>
        </w:rPr>
        <w:t>.</w:t>
      </w:r>
      <w:r>
        <w:rPr>
          <w:bCs/>
        </w:rPr>
        <w:t>2</w:t>
      </w:r>
      <w:r>
        <w:rPr>
          <w:rFonts w:hint="eastAsia"/>
        </w:rPr>
        <w:t xml:space="preserve"> 中耕翻土</w:t>
      </w:r>
    </w:p>
    <w:p>
      <w:pPr>
        <w:pStyle w:val="23"/>
      </w:pPr>
      <w:r>
        <w:rPr>
          <w:rFonts w:hint="eastAsia"/>
        </w:rPr>
        <w:t>每年结合施冬肥和壮果促梢肥时进行1～2次中耕翻土，深约2</w:t>
      </w:r>
      <w:r>
        <w:t>5</w:t>
      </w:r>
      <w:r>
        <w:rPr>
          <w:rFonts w:hint="eastAsia"/>
        </w:rPr>
        <w:t>c</w:t>
      </w:r>
      <w:r>
        <w:t>m</w:t>
      </w:r>
      <w:r>
        <w:rPr>
          <w:rFonts w:hint="eastAsia"/>
        </w:rPr>
        <w:t>，树干周围进行浅耕。</w:t>
      </w:r>
    </w:p>
    <w:p>
      <w:pPr>
        <w:pStyle w:val="23"/>
        <w:ind w:firstLine="0" w:firstLineChars="0"/>
      </w:pPr>
      <w:r>
        <w:t>3.5</w:t>
      </w:r>
      <w:r>
        <w:rPr>
          <w:rFonts w:hint="eastAsia"/>
        </w:rPr>
        <w:t>.3 间作或生草栽培</w:t>
      </w:r>
    </w:p>
    <w:p>
      <w:pPr>
        <w:pStyle w:val="23"/>
      </w:pPr>
      <w:r>
        <w:rPr>
          <w:rFonts w:hint="eastAsia"/>
        </w:rPr>
        <w:t>在树冠滴水线以外的行间空地铲除恶性杂草，松土后适时间种作物或草类，种植的间作物或草类应与柑橘无共生性病虫害，浅根，矮杆，以豆科植物、禾本科牧草和霍香蓟为宜，春夏季可种花生、绿豆、霍香草等其它吸肥性不强的作物，秋冬季可种植萝卜、油菜等绿肥，定期对果园生草或绿肥进行刈割后翻埋于土壤中或覆盖于树盘下。</w:t>
      </w:r>
    </w:p>
    <w:p>
      <w:pPr>
        <w:pStyle w:val="23"/>
        <w:ind w:firstLine="0" w:firstLineChars="0"/>
      </w:pPr>
      <w:r>
        <w:t>3.5</w:t>
      </w:r>
      <w:r>
        <w:rPr>
          <w:rFonts w:hint="eastAsia"/>
        </w:rPr>
        <w:t>.</w:t>
      </w:r>
      <w:r>
        <w:t>4</w:t>
      </w:r>
      <w:r>
        <w:rPr>
          <w:rFonts w:hint="eastAsia"/>
        </w:rPr>
        <w:t xml:space="preserve"> 改良土壤</w:t>
      </w:r>
    </w:p>
    <w:p>
      <w:pPr>
        <w:pStyle w:val="23"/>
        <w:ind w:firstLine="315" w:firstLineChars="150"/>
      </w:pPr>
      <w:r>
        <w:rPr>
          <w:rFonts w:hint="eastAsia"/>
        </w:rPr>
        <w:t>在土壤pH</w:t>
      </w:r>
      <w:r>
        <w:rPr>
          <w:rFonts w:hint="eastAsia" w:hAnsi="宋体"/>
        </w:rPr>
        <w:t>≦</w:t>
      </w:r>
      <w:r>
        <w:rPr>
          <w:rFonts w:hint="eastAsia"/>
        </w:rPr>
        <w:t>5的园地施用石灰，在土壤pH≧7的地方使用生理酸性肥料或绿肥压青,将pH值调节到5.5～6.5。</w:t>
      </w:r>
    </w:p>
    <w:p>
      <w:pPr>
        <w:pStyle w:val="23"/>
        <w:rPr>
          <w:highlight w:val="yellow"/>
        </w:rPr>
      </w:pPr>
    </w:p>
    <w:p>
      <w:pPr>
        <w:pStyle w:val="23"/>
        <w:ind w:firstLine="0" w:firstLineChars="0"/>
        <w:rPr>
          <w:b/>
          <w:bCs/>
        </w:rPr>
      </w:pPr>
      <w:r>
        <w:rPr>
          <w:b/>
          <w:bCs/>
        </w:rPr>
        <w:t>3.6</w:t>
      </w:r>
      <w:r>
        <w:rPr>
          <w:rFonts w:hint="eastAsia"/>
          <w:b/>
          <w:bCs/>
        </w:rPr>
        <w:t xml:space="preserve"> </w:t>
      </w:r>
      <w:r>
        <w:rPr>
          <w:b/>
          <w:bCs/>
        </w:rPr>
        <w:t>施肥管理</w:t>
      </w:r>
    </w:p>
    <w:p>
      <w:pPr>
        <w:pStyle w:val="23"/>
        <w:ind w:firstLine="0" w:firstLineChars="0"/>
      </w:pPr>
      <w:r>
        <w:rPr>
          <w:bCs/>
        </w:rPr>
        <w:t>3.6.1</w:t>
      </w:r>
      <w:r>
        <w:rPr>
          <w:rFonts w:hint="eastAsia"/>
          <w:bCs/>
        </w:rPr>
        <w:t xml:space="preserve"> </w:t>
      </w:r>
      <w:r>
        <w:rPr>
          <w:bCs/>
        </w:rPr>
        <w:t>施肥原则</w:t>
      </w:r>
    </w:p>
    <w:p>
      <w:pPr>
        <w:pStyle w:val="23"/>
      </w:pPr>
      <w:r>
        <w:t>所施用肥料符合《NY/T394 绿色食品</w:t>
      </w:r>
      <w:r>
        <w:rPr>
          <w:rFonts w:hint="eastAsia"/>
        </w:rPr>
        <w:t xml:space="preserve"> </w:t>
      </w:r>
      <w:r>
        <w:t>肥料使用准则》规定。</w:t>
      </w:r>
    </w:p>
    <w:p>
      <w:pPr>
        <w:pStyle w:val="23"/>
        <w:ind w:firstLine="0" w:firstLineChars="0"/>
        <w:rPr>
          <w:bCs/>
        </w:rPr>
      </w:pPr>
      <w:r>
        <w:rPr>
          <w:bCs/>
        </w:rPr>
        <w:t>3</w:t>
      </w:r>
      <w:r>
        <w:rPr>
          <w:rFonts w:hint="eastAsia"/>
          <w:bCs/>
        </w:rPr>
        <w:t>.</w:t>
      </w:r>
      <w:r>
        <w:rPr>
          <w:bCs/>
        </w:rPr>
        <w:t>6.1</w:t>
      </w:r>
      <w:r>
        <w:rPr>
          <w:rFonts w:hint="eastAsia"/>
          <w:bCs/>
        </w:rPr>
        <w:t>.1 幼树施肥</w:t>
      </w:r>
    </w:p>
    <w:p>
      <w:pPr>
        <w:pStyle w:val="23"/>
        <w:ind w:firstLineChars="0"/>
        <w:rPr>
          <w:bCs/>
        </w:rPr>
      </w:pPr>
      <w:r>
        <w:rPr>
          <w:bCs/>
        </w:rPr>
        <w:t>苗木定植</w:t>
      </w:r>
      <w:r>
        <w:rPr>
          <w:rFonts w:hint="eastAsia"/>
          <w:bCs/>
        </w:rPr>
        <w:t xml:space="preserve">一个月后，可开始施稀薄的粪水+0.2％的尿素或复合肥，勤施薄肥。在每次新梢萌芽前10～15天、新梢转绿时分别将肥料溶于水后施入或开浅沟施入，新梢生长期间视树体情况可叶面追肥1-2次。每年结合扩坑改土在夏季和冬季各施重肥1次，第一年每株施入堆沤腐熟有机肥5～10 kg、钙镁磷肥0.25 </w:t>
      </w:r>
      <w:r>
        <w:rPr>
          <w:bCs/>
        </w:rPr>
        <w:t>k</w:t>
      </w:r>
      <w:r>
        <w:rPr>
          <w:rFonts w:hint="eastAsia"/>
          <w:bCs/>
        </w:rPr>
        <w:t xml:space="preserve">g和石灰0.5 </w:t>
      </w:r>
      <w:r>
        <w:rPr>
          <w:bCs/>
        </w:rPr>
        <w:t>k</w:t>
      </w:r>
      <w:r>
        <w:rPr>
          <w:rFonts w:hint="eastAsia"/>
          <w:bCs/>
        </w:rPr>
        <w:t>g。施肥量和钾肥比例由少到多逐年增加。1～3年生幼树施肥原则是高氮、中钾和少磷，单株年施氮100-400</w:t>
      </w:r>
      <w:r>
        <w:rPr>
          <w:bCs/>
        </w:rPr>
        <w:t>g</w:t>
      </w:r>
      <w:r>
        <w:rPr>
          <w:rFonts w:hint="eastAsia"/>
          <w:bCs/>
        </w:rPr>
        <w:t>，氮、磷、钾的比例约为1:0.2:0.4；投产前一年秋梢老熟后，适当减少氮肥施用，增施磷、钾肥。</w:t>
      </w:r>
    </w:p>
    <w:p>
      <w:pPr>
        <w:pStyle w:val="23"/>
        <w:ind w:firstLineChars="0"/>
      </w:pPr>
    </w:p>
    <w:p>
      <w:pPr>
        <w:pStyle w:val="23"/>
        <w:ind w:firstLine="0" w:firstLineChars="0"/>
        <w:rPr>
          <w:bCs/>
        </w:rPr>
      </w:pPr>
      <w:r>
        <w:rPr>
          <w:bCs/>
        </w:rPr>
        <w:t>3.6</w:t>
      </w:r>
      <w:r>
        <w:rPr>
          <w:rFonts w:hint="eastAsia"/>
          <w:bCs/>
        </w:rPr>
        <w:t>.</w:t>
      </w:r>
      <w:r>
        <w:rPr>
          <w:bCs/>
        </w:rPr>
        <w:t>1</w:t>
      </w:r>
      <w:r>
        <w:rPr>
          <w:rFonts w:hint="eastAsia"/>
          <w:bCs/>
        </w:rPr>
        <w:t>.2  结果树施肥</w:t>
      </w:r>
    </w:p>
    <w:p>
      <w:pPr>
        <w:pStyle w:val="23"/>
        <w:ind w:firstLine="315" w:firstLineChars="150"/>
      </w:pPr>
      <w:r>
        <w:rPr>
          <w:rFonts w:hint="eastAsia"/>
        </w:rPr>
        <w:t>定植</w:t>
      </w:r>
      <w:r>
        <w:t>第</w:t>
      </w:r>
      <w:r>
        <w:rPr>
          <w:rFonts w:hint="eastAsia"/>
        </w:rPr>
        <w:t>3</w:t>
      </w:r>
      <w:r>
        <w:t>年</w:t>
      </w:r>
      <w:r>
        <w:rPr>
          <w:rFonts w:hint="eastAsia"/>
        </w:rPr>
        <w:t>开始进入投产期，甜橙结果树施肥以增施有机肥、平衡配方施肥和减少化肥使用量为原则。每亩全年氮、磷、钾施肥量约为15～20 kg、6～8 kg、10～15 kg，施肥时间和用量应根据树势、物候期、产量、土质、肥料种类等适当调整和补充。每年结合扩坑改土在冬季挖沟施基肥，每株施入沤熟农家肥15～25kg、麸饼肥1.5～2.0kg、沼液渣1</w:t>
      </w:r>
      <w:r>
        <w:t>0</w:t>
      </w:r>
      <w:r>
        <w:rPr>
          <w:rFonts w:hint="eastAsia"/>
        </w:rPr>
        <w:t>kg、钙镁磷肥0.5～1.0 kg。</w:t>
      </w:r>
    </w:p>
    <w:p>
      <w:pPr>
        <w:pStyle w:val="23"/>
        <w:ind w:firstLine="0" w:firstLineChars="0"/>
      </w:pPr>
      <w:r>
        <w:rPr>
          <w:bCs/>
        </w:rPr>
        <w:t>3.6</w:t>
      </w:r>
      <w:r>
        <w:rPr>
          <w:rFonts w:hint="eastAsia"/>
          <w:bCs/>
        </w:rPr>
        <w:t>.</w:t>
      </w:r>
      <w:r>
        <w:rPr>
          <w:bCs/>
        </w:rPr>
        <w:t>1</w:t>
      </w:r>
      <w:r>
        <w:rPr>
          <w:rFonts w:hint="eastAsia"/>
          <w:bCs/>
        </w:rPr>
        <w:t>.3  施肥方法</w:t>
      </w:r>
    </w:p>
    <w:p>
      <w:pPr>
        <w:pStyle w:val="23"/>
        <w:ind w:firstLine="0" w:firstLineChars="0"/>
      </w:pPr>
      <w:r>
        <w:t>3.6</w:t>
      </w:r>
      <w:r>
        <w:rPr>
          <w:rFonts w:hint="eastAsia"/>
        </w:rPr>
        <w:t>.</w:t>
      </w:r>
      <w:r>
        <w:t>1</w:t>
      </w:r>
      <w:r>
        <w:rPr>
          <w:rFonts w:hint="eastAsia"/>
        </w:rPr>
        <w:t xml:space="preserve">.3.1 深施  </w:t>
      </w:r>
    </w:p>
    <w:p>
      <w:pPr>
        <w:pStyle w:val="23"/>
        <w:ind w:firstLine="315" w:firstLineChars="150"/>
      </w:pPr>
      <w:r>
        <w:rPr>
          <w:rFonts w:hint="eastAsia"/>
        </w:rPr>
        <w:t>有机肥应结合扩穴改土深施，化肥易溶于水而渗透宜浅施；磷肥易固定，宜与有机肥结合深施。化肥须在树冠滴水处周围开深、宽20</w:t>
      </w:r>
      <w:r>
        <w:t>cm</w:t>
      </w:r>
      <w:r>
        <w:rPr>
          <w:rFonts w:hint="eastAsia" w:hAnsi="宋体"/>
        </w:rPr>
        <w:t>Χ</w:t>
      </w:r>
      <w:r>
        <w:rPr>
          <w:rFonts w:hint="eastAsia"/>
        </w:rPr>
        <w:t>20cm的环状沟、放射沟、条状沟或结合果园深耕撒施，施后覆土保肥</w:t>
      </w:r>
      <w:r>
        <w:t>;</w:t>
      </w:r>
      <w:r>
        <w:rPr>
          <w:rFonts w:hint="eastAsia"/>
        </w:rPr>
        <w:t>7月上中旬和11月－12月施肥以有机肥和复合肥为主，结果树不在5月中旬－6月中旬施用速效性氮肥</w:t>
      </w:r>
      <w:r>
        <w:t>;</w:t>
      </w:r>
      <w:r>
        <w:rPr>
          <w:rFonts w:hint="eastAsia"/>
        </w:rPr>
        <w:t>及时</w:t>
      </w:r>
      <w:r>
        <w:t>施用壮果促梢肥和</w:t>
      </w:r>
      <w:r>
        <w:rPr>
          <w:rFonts w:hint="eastAsia"/>
        </w:rPr>
        <w:t>采果肥，以有机肥为主，合理搭配氮、磷、钾肥，促进树势健壮，提高抗病力。</w:t>
      </w:r>
    </w:p>
    <w:p>
      <w:pPr>
        <w:pStyle w:val="23"/>
        <w:ind w:firstLine="0" w:firstLineChars="0"/>
      </w:pPr>
      <w:r>
        <w:t>3.6</w:t>
      </w:r>
      <w:r>
        <w:rPr>
          <w:rFonts w:hint="eastAsia"/>
        </w:rPr>
        <w:t>.</w:t>
      </w:r>
      <w:r>
        <w:t>1</w:t>
      </w:r>
      <w:r>
        <w:rPr>
          <w:rFonts w:hint="eastAsia"/>
        </w:rPr>
        <w:t xml:space="preserve">.3.2 滴灌  </w:t>
      </w:r>
    </w:p>
    <w:p>
      <w:pPr>
        <w:pStyle w:val="23"/>
      </w:pPr>
      <w:r>
        <w:rPr>
          <w:rFonts w:hint="eastAsia"/>
        </w:rPr>
        <w:t>有滴灌设备的果园，可结合抗旱和灌溉施用大量元素水溶肥、中微量元素肥、可溶性化肥和复合肥等，滴灌施肥只能用可溶性肥料，硫酸根肥料慎用，不用磷肥。滴肥步骤为：先滴水，次滴肥，再滴水，肥前时间与控制阀门的多少成正比，滴灌流量正常后才可滴肥。流量长时间过大，则需到田间检查有否漏水。施肥罐的流量在压力不变时是恒定的，可算出滴肥所需时间，肥后要冲洗管道，保证肥料全部滴到树盘上，土壤湿度过大不宜滴肥。</w:t>
      </w:r>
    </w:p>
    <w:p>
      <w:pPr>
        <w:pStyle w:val="23"/>
        <w:ind w:firstLine="0" w:firstLineChars="0"/>
      </w:pPr>
      <w:r>
        <w:rPr>
          <w:bCs/>
        </w:rPr>
        <w:t>3.6</w:t>
      </w:r>
      <w:r>
        <w:rPr>
          <w:rFonts w:hint="eastAsia"/>
          <w:bCs/>
        </w:rPr>
        <w:t>.</w:t>
      </w:r>
      <w:r>
        <w:rPr>
          <w:bCs/>
        </w:rPr>
        <w:t>1</w:t>
      </w:r>
      <w:r>
        <w:rPr>
          <w:rFonts w:hint="eastAsia"/>
          <w:bCs/>
        </w:rPr>
        <w:t>.3.3</w:t>
      </w:r>
      <w:r>
        <w:rPr>
          <w:bCs/>
        </w:rPr>
        <w:t xml:space="preserve"> </w:t>
      </w:r>
      <w:r>
        <w:rPr>
          <w:rFonts w:hint="eastAsia"/>
          <w:bCs/>
        </w:rPr>
        <w:t>叶面喷施</w:t>
      </w:r>
    </w:p>
    <w:p>
      <w:pPr>
        <w:pStyle w:val="23"/>
      </w:pPr>
      <w:r>
        <w:rPr>
          <w:rFonts w:hint="eastAsia"/>
        </w:rPr>
        <w:t>在不同的生长发育期，根据树势及生长发育需要可适当进行叶面施肥，如用10%氨基酸600倍或0.3%磷酸二氢钾结合病虫防治药剂喷施，补充树体营养或矫治缺素症。高温烈日天气宜早晚作业，果实采收前20d内停止叶面追肥。</w:t>
      </w:r>
    </w:p>
    <w:p>
      <w:pPr>
        <w:pStyle w:val="23"/>
        <w:ind w:firstLine="0" w:firstLineChars="0"/>
        <w:rPr>
          <w:b/>
          <w:bCs/>
        </w:rPr>
      </w:pPr>
      <w:r>
        <w:rPr>
          <w:b/>
          <w:bCs/>
        </w:rPr>
        <w:t>3.7</w:t>
      </w:r>
      <w:r>
        <w:rPr>
          <w:rFonts w:hint="eastAsia"/>
          <w:b/>
          <w:bCs/>
        </w:rPr>
        <w:t xml:space="preserve"> </w:t>
      </w:r>
      <w:r>
        <w:rPr>
          <w:b/>
          <w:bCs/>
        </w:rPr>
        <w:t>水分管理</w:t>
      </w:r>
    </w:p>
    <w:p>
      <w:pPr>
        <w:pStyle w:val="23"/>
        <w:ind w:firstLine="0" w:firstLineChars="0"/>
        <w:rPr>
          <w:bCs/>
        </w:rPr>
      </w:pPr>
      <w:r>
        <w:rPr>
          <w:bCs/>
        </w:rPr>
        <w:t>3.7</w:t>
      </w:r>
      <w:r>
        <w:rPr>
          <w:rFonts w:hint="eastAsia"/>
          <w:bCs/>
        </w:rPr>
        <w:t>.</w:t>
      </w:r>
      <w:r>
        <w:rPr>
          <w:bCs/>
        </w:rPr>
        <w:t>1</w:t>
      </w:r>
      <w:r>
        <w:rPr>
          <w:rFonts w:hint="eastAsia"/>
          <w:bCs/>
        </w:rPr>
        <w:t xml:space="preserve">  时期</w:t>
      </w:r>
    </w:p>
    <w:p>
      <w:pPr>
        <w:pStyle w:val="23"/>
        <w:rPr>
          <w:bCs/>
        </w:rPr>
      </w:pPr>
      <w:r>
        <w:rPr>
          <w:rFonts w:hint="eastAsia"/>
          <w:bCs/>
        </w:rPr>
        <w:t>在萌芽期、开花座果期、果实膨大期和采果后发生干旱时应及时灌溉。</w:t>
      </w:r>
      <w:r>
        <w:rPr>
          <w:bCs/>
        </w:rPr>
        <w:t>开花、幼果期田间持水量保持</w:t>
      </w:r>
      <w:r>
        <w:rPr>
          <w:rFonts w:hint="eastAsia"/>
          <w:bCs/>
        </w:rPr>
        <w:t>在</w:t>
      </w:r>
      <w:r>
        <w:rPr>
          <w:bCs/>
        </w:rPr>
        <w:t>55%</w:t>
      </w:r>
      <w:r>
        <w:rPr>
          <w:rFonts w:hint="eastAsia"/>
          <w:bCs/>
        </w:rPr>
        <w:t>～</w:t>
      </w:r>
      <w:r>
        <w:rPr>
          <w:bCs/>
        </w:rPr>
        <w:t>65%，果实迅速增大期70%</w:t>
      </w:r>
      <w:r>
        <w:rPr>
          <w:rFonts w:hint="eastAsia"/>
          <w:bCs/>
        </w:rPr>
        <w:t>～</w:t>
      </w:r>
      <w:r>
        <w:rPr>
          <w:bCs/>
        </w:rPr>
        <w:t>75%，花芽分化期</w:t>
      </w:r>
      <w:r>
        <w:rPr>
          <w:rFonts w:hint="eastAsia"/>
          <w:bCs/>
        </w:rPr>
        <w:t>和</w:t>
      </w:r>
      <w:r>
        <w:rPr>
          <w:bCs/>
        </w:rPr>
        <w:t>果实成熟期要适当控水。</w:t>
      </w:r>
      <w:r>
        <w:rPr>
          <w:rFonts w:hint="eastAsia"/>
          <w:bCs/>
        </w:rPr>
        <w:t>当出现下午多数植株叶片出现轻度卷起，第二天又张开时须马上灌水。</w:t>
      </w:r>
    </w:p>
    <w:p>
      <w:pPr>
        <w:pStyle w:val="23"/>
        <w:ind w:firstLine="0" w:firstLineChars="0"/>
        <w:rPr>
          <w:bCs/>
        </w:rPr>
      </w:pPr>
      <w:r>
        <w:rPr>
          <w:bCs/>
        </w:rPr>
        <w:t>3.7</w:t>
      </w:r>
      <w:r>
        <w:rPr>
          <w:rFonts w:hint="eastAsia"/>
          <w:bCs/>
        </w:rPr>
        <w:t xml:space="preserve">.2  灌水量及灌水周期 </w:t>
      </w:r>
    </w:p>
    <w:p>
      <w:pPr>
        <w:pStyle w:val="23"/>
        <w:rPr>
          <w:bCs/>
        </w:rPr>
      </w:pPr>
      <w:r>
        <w:rPr>
          <w:rFonts w:hint="eastAsia"/>
          <w:bCs/>
        </w:rPr>
        <w:t>灌水量视树龄、植株大小和时期而定，每次灌水量以水分能渗透土层50cm以上为宜。</w:t>
      </w:r>
    </w:p>
    <w:p>
      <w:pPr>
        <w:pStyle w:val="23"/>
        <w:ind w:firstLine="0" w:firstLineChars="0"/>
        <w:rPr>
          <w:bCs/>
        </w:rPr>
      </w:pPr>
      <w:r>
        <w:rPr>
          <w:bCs/>
        </w:rPr>
        <w:t>3.7</w:t>
      </w:r>
      <w:r>
        <w:rPr>
          <w:rFonts w:hint="eastAsia"/>
          <w:bCs/>
        </w:rPr>
        <w:t>.</w:t>
      </w:r>
      <w:r>
        <w:rPr>
          <w:bCs/>
        </w:rPr>
        <w:t>3</w:t>
      </w:r>
      <w:r>
        <w:rPr>
          <w:rFonts w:hint="eastAsia"/>
          <w:bCs/>
        </w:rPr>
        <w:t xml:space="preserve">  灌溉方式 </w:t>
      </w:r>
    </w:p>
    <w:p>
      <w:pPr>
        <w:pStyle w:val="23"/>
        <w:ind w:firstLine="0" w:firstLineChars="0"/>
        <w:rPr>
          <w:bCs/>
        </w:rPr>
      </w:pPr>
      <w:r>
        <w:rPr>
          <w:bCs/>
        </w:rPr>
        <w:t>3.7</w:t>
      </w:r>
      <w:r>
        <w:rPr>
          <w:rFonts w:hint="eastAsia"/>
          <w:bCs/>
        </w:rPr>
        <w:t>.</w:t>
      </w:r>
      <w:r>
        <w:rPr>
          <w:bCs/>
        </w:rPr>
        <w:t>3</w:t>
      </w:r>
      <w:r>
        <w:rPr>
          <w:rFonts w:hint="eastAsia"/>
          <w:bCs/>
        </w:rPr>
        <w:t>.1  淋灌：前期用PVC管遍布果园，根据需要时套上胶管直接淋水。</w:t>
      </w:r>
    </w:p>
    <w:p>
      <w:pPr>
        <w:pStyle w:val="23"/>
        <w:ind w:firstLine="0" w:firstLineChars="0"/>
        <w:rPr>
          <w:bCs/>
        </w:rPr>
      </w:pPr>
      <w:r>
        <w:rPr>
          <w:bCs/>
        </w:rPr>
        <w:t>3.7</w:t>
      </w:r>
      <w:r>
        <w:rPr>
          <w:rFonts w:hint="eastAsia"/>
          <w:bCs/>
        </w:rPr>
        <w:t>.3.2  滴灌：全园铺设滴灌管，使树体经常保持在最适的土壤湿度下，监控土壤湿度和气温、雨量、蒸发量等进行滴灌；结合追肥需要同时进行水溶肥的滴灌。</w:t>
      </w:r>
    </w:p>
    <w:p>
      <w:pPr>
        <w:pStyle w:val="23"/>
        <w:ind w:firstLine="0" w:firstLineChars="0"/>
        <w:rPr>
          <w:bCs/>
        </w:rPr>
      </w:pPr>
      <w:r>
        <w:rPr>
          <w:bCs/>
        </w:rPr>
        <w:t>3.7</w:t>
      </w:r>
      <w:r>
        <w:rPr>
          <w:rFonts w:hint="eastAsia"/>
          <w:bCs/>
        </w:rPr>
        <w:t>.</w:t>
      </w:r>
      <w:r>
        <w:rPr>
          <w:bCs/>
        </w:rPr>
        <w:t>4</w:t>
      </w:r>
      <w:r>
        <w:rPr>
          <w:rFonts w:hint="eastAsia"/>
          <w:bCs/>
        </w:rPr>
        <w:t xml:space="preserve">  排水</w:t>
      </w:r>
    </w:p>
    <w:p>
      <w:pPr>
        <w:pStyle w:val="23"/>
        <w:rPr>
          <w:bCs/>
        </w:rPr>
      </w:pPr>
      <w:r>
        <w:rPr>
          <w:rFonts w:hint="eastAsia"/>
          <w:bCs/>
        </w:rPr>
        <w:t>在雨水相对集中的地方，及时清淤，疏通排水系统。控制果园地下水位在一米以下。水田种植的果园，则须隔行开深100cm、宽50cm的深沟，坡地种植的则在行间开30-50cm的沟，畦面成瓦背形，不易积水。采收前多雨的地区采用地面地膜覆盖，可降低土壤含水量，提高果实品质。</w:t>
      </w:r>
    </w:p>
    <w:p>
      <w:pPr>
        <w:pStyle w:val="23"/>
        <w:ind w:firstLine="422"/>
        <w:rPr>
          <w:b/>
          <w:bCs/>
        </w:rPr>
      </w:pPr>
    </w:p>
    <w:p>
      <w:pPr>
        <w:pStyle w:val="23"/>
        <w:ind w:firstLine="0" w:firstLineChars="0"/>
        <w:rPr>
          <w:b/>
          <w:bCs/>
        </w:rPr>
      </w:pPr>
      <w:r>
        <w:rPr>
          <w:b/>
          <w:bCs/>
        </w:rPr>
        <w:t>3.8</w:t>
      </w:r>
      <w:r>
        <w:rPr>
          <w:rFonts w:hint="eastAsia"/>
          <w:b/>
          <w:bCs/>
        </w:rPr>
        <w:t xml:space="preserve"> </w:t>
      </w:r>
      <w:r>
        <w:rPr>
          <w:b/>
          <w:bCs/>
        </w:rPr>
        <w:t>树</w:t>
      </w:r>
      <w:r>
        <w:rPr>
          <w:rFonts w:hint="eastAsia"/>
          <w:b/>
          <w:bCs/>
        </w:rPr>
        <w:t>体</w:t>
      </w:r>
      <w:r>
        <w:rPr>
          <w:b/>
          <w:bCs/>
        </w:rPr>
        <w:t>管理</w:t>
      </w:r>
    </w:p>
    <w:p>
      <w:pPr>
        <w:pStyle w:val="23"/>
        <w:ind w:firstLine="0" w:firstLineChars="0"/>
        <w:rPr>
          <w:bCs/>
        </w:rPr>
      </w:pPr>
      <w:r>
        <w:rPr>
          <w:bCs/>
        </w:rPr>
        <w:t>3.8</w:t>
      </w:r>
      <w:r>
        <w:rPr>
          <w:rFonts w:hint="eastAsia"/>
          <w:bCs/>
        </w:rPr>
        <w:t>.1 适宜树形</w:t>
      </w:r>
    </w:p>
    <w:p>
      <w:pPr>
        <w:pStyle w:val="23"/>
        <w:rPr>
          <w:bCs/>
        </w:rPr>
      </w:pPr>
      <w:r>
        <w:rPr>
          <w:rFonts w:hint="eastAsia"/>
          <w:bCs/>
        </w:rPr>
        <w:t>甜橙适宜树形有自然圆头形、自然开心形、三主枝形等，树高控制在2</w:t>
      </w:r>
      <w:r>
        <w:rPr>
          <w:bCs/>
        </w:rPr>
        <w:t>.5</w:t>
      </w:r>
      <w:r>
        <w:rPr>
          <w:rFonts w:hint="eastAsia"/>
          <w:bCs/>
        </w:rPr>
        <w:t>m左右，树冠间保持25-50c</w:t>
      </w:r>
      <w:r>
        <w:rPr>
          <w:bCs/>
        </w:rPr>
        <w:t>m</w:t>
      </w:r>
      <w:r>
        <w:rPr>
          <w:rFonts w:hint="eastAsia"/>
          <w:bCs/>
        </w:rPr>
        <w:t>为宜。</w:t>
      </w:r>
    </w:p>
    <w:p>
      <w:pPr>
        <w:pStyle w:val="23"/>
        <w:ind w:firstLine="0" w:firstLineChars="0"/>
        <w:rPr>
          <w:bCs/>
        </w:rPr>
      </w:pPr>
      <w:r>
        <w:rPr>
          <w:bCs/>
        </w:rPr>
        <w:t>3.8</w:t>
      </w:r>
      <w:r>
        <w:rPr>
          <w:rFonts w:hint="eastAsia"/>
          <w:bCs/>
        </w:rPr>
        <w:t>.2  培育树形</w:t>
      </w:r>
    </w:p>
    <w:p>
      <w:pPr>
        <w:pStyle w:val="23"/>
        <w:rPr>
          <w:bCs/>
        </w:rPr>
      </w:pPr>
      <w:r>
        <w:rPr>
          <w:rFonts w:hint="eastAsia"/>
          <w:bCs/>
        </w:rPr>
        <w:t>苗木定植后，应在春季萌芽前剪顶，主干留40-50厘米整形带，在整形带选留3个方位均衡、枝间距10厘米以上的新梢留作主枝，采取“撑、扶、拉”等措施，保证40-45°</w:t>
      </w:r>
      <w:r>
        <w:rPr>
          <w:bCs/>
        </w:rPr>
        <w:t>的</w:t>
      </w:r>
      <w:r>
        <w:rPr>
          <w:rFonts w:hint="eastAsia"/>
          <w:bCs/>
        </w:rPr>
        <w:t>分枝角，并在每个主枝上培育2－3个副主枝。</w:t>
      </w:r>
    </w:p>
    <w:p>
      <w:pPr>
        <w:pStyle w:val="23"/>
        <w:ind w:firstLine="0" w:firstLineChars="0"/>
        <w:rPr>
          <w:bCs/>
        </w:rPr>
      </w:pPr>
      <w:r>
        <w:rPr>
          <w:bCs/>
        </w:rPr>
        <w:t>3.8</w:t>
      </w:r>
      <w:r>
        <w:rPr>
          <w:rFonts w:hint="eastAsia"/>
          <w:bCs/>
        </w:rPr>
        <w:t>.3  整形修剪</w:t>
      </w:r>
    </w:p>
    <w:p>
      <w:pPr>
        <w:pStyle w:val="23"/>
        <w:ind w:firstLine="0" w:firstLineChars="0"/>
        <w:rPr>
          <w:bCs/>
        </w:rPr>
      </w:pPr>
      <w:r>
        <w:rPr>
          <w:bCs/>
        </w:rPr>
        <w:t>3.8</w:t>
      </w:r>
      <w:r>
        <w:rPr>
          <w:rFonts w:hint="eastAsia"/>
          <w:bCs/>
        </w:rPr>
        <w:t xml:space="preserve">.3.1 幼树整形  </w:t>
      </w:r>
    </w:p>
    <w:p>
      <w:pPr>
        <w:pStyle w:val="23"/>
        <w:rPr>
          <w:bCs/>
        </w:rPr>
      </w:pPr>
      <w:r>
        <w:rPr>
          <w:rFonts w:hint="eastAsia"/>
          <w:bCs/>
        </w:rPr>
        <w:t>春梢以疏梢为主，夏梢以抹芽、摘心为主，秋冬梢促控结合。幼树定干后选留分布均匀的新芽3个，作第一级骨干枝，新梢老熟前后及时摘心或短截，留</w:t>
      </w:r>
      <w:r>
        <w:rPr>
          <w:bCs/>
        </w:rPr>
        <w:t>20</w:t>
      </w:r>
      <w:r>
        <w:rPr>
          <w:rFonts w:hint="eastAsia"/>
          <w:bCs/>
        </w:rPr>
        <w:t>－2</w:t>
      </w:r>
      <w:r>
        <w:rPr>
          <w:bCs/>
        </w:rPr>
        <w:t>5</w:t>
      </w:r>
      <w:r>
        <w:rPr>
          <w:rFonts w:hint="eastAsia"/>
          <w:bCs/>
        </w:rPr>
        <w:t>c</w:t>
      </w:r>
      <w:r>
        <w:rPr>
          <w:bCs/>
        </w:rPr>
        <w:t>m</w:t>
      </w:r>
      <w:r>
        <w:rPr>
          <w:rFonts w:hint="eastAsia"/>
          <w:bCs/>
        </w:rPr>
        <w:t>放新梢，作第二级骨干枝，依次放梢后，经过1-2年的培育形成合理树形，适当疏删过密枝群和保留一定的中下部内膛枝。对旺长直立的植株要进行弯枝、拉枝，促使树冠开张，</w:t>
      </w:r>
      <w:r>
        <w:rPr>
          <w:bCs/>
        </w:rPr>
        <w:t>枝序层次分明</w:t>
      </w:r>
      <w:r>
        <w:rPr>
          <w:rFonts w:hint="eastAsia"/>
          <w:bCs/>
        </w:rPr>
        <w:t>。</w:t>
      </w:r>
    </w:p>
    <w:p>
      <w:pPr>
        <w:pStyle w:val="23"/>
        <w:ind w:firstLine="0" w:firstLineChars="0"/>
        <w:rPr>
          <w:bCs/>
        </w:rPr>
      </w:pPr>
      <w:r>
        <w:rPr>
          <w:bCs/>
        </w:rPr>
        <w:t>3.8</w:t>
      </w:r>
      <w:r>
        <w:rPr>
          <w:rFonts w:hint="eastAsia"/>
          <w:bCs/>
        </w:rPr>
        <w:t>.3.</w:t>
      </w:r>
      <w:r>
        <w:rPr>
          <w:bCs/>
        </w:rPr>
        <w:t>2</w:t>
      </w:r>
      <w:r>
        <w:rPr>
          <w:rFonts w:hint="eastAsia"/>
          <w:bCs/>
        </w:rPr>
        <w:t xml:space="preserve"> 结果树修剪 </w:t>
      </w:r>
    </w:p>
    <w:p>
      <w:pPr>
        <w:pStyle w:val="23"/>
        <w:ind w:firstLine="0" w:firstLineChars="0"/>
        <w:rPr>
          <w:bCs/>
        </w:rPr>
      </w:pPr>
      <w:r>
        <w:rPr>
          <w:bCs/>
        </w:rPr>
        <w:t xml:space="preserve">   甜橙结果树的修剪主要有冬剪和夏</w:t>
      </w:r>
      <w:r>
        <w:rPr>
          <w:rFonts w:hint="eastAsia"/>
          <w:bCs/>
        </w:rPr>
        <w:t>剪，</w:t>
      </w:r>
      <w:r>
        <w:rPr>
          <w:bCs/>
        </w:rPr>
        <w:t>其它季节视需要适当进行修剪</w:t>
      </w:r>
      <w:r>
        <w:rPr>
          <w:rFonts w:hint="eastAsia"/>
          <w:bCs/>
        </w:rPr>
        <w:t>。</w:t>
      </w:r>
    </w:p>
    <w:p>
      <w:pPr>
        <w:pStyle w:val="23"/>
        <w:ind w:firstLine="0" w:firstLineChars="0"/>
        <w:rPr>
          <w:bCs/>
        </w:rPr>
      </w:pPr>
      <w:r>
        <w:rPr>
          <w:bCs/>
        </w:rPr>
        <w:t xml:space="preserve">3.8.3.2.1 </w:t>
      </w:r>
      <w:r>
        <w:rPr>
          <w:rFonts w:hint="eastAsia"/>
          <w:bCs/>
        </w:rPr>
        <w:t>冬剪</w:t>
      </w:r>
    </w:p>
    <w:p>
      <w:pPr>
        <w:pStyle w:val="23"/>
        <w:rPr>
          <w:bCs/>
        </w:rPr>
      </w:pPr>
      <w:r>
        <w:rPr>
          <w:rFonts w:hint="eastAsia"/>
          <w:bCs/>
        </w:rPr>
        <w:t>一般在采果后至春芽前进行，主要是疏剪、压顶、开天窗、行间及外围枝组的回缩等，重要剪除严重病虫枝、衰老枝、交叉枝、枯枝、下垂枝等，适当剪除树冠中上部直立枝条，控制顶端优势。</w:t>
      </w:r>
    </w:p>
    <w:p>
      <w:pPr>
        <w:pStyle w:val="23"/>
        <w:ind w:firstLine="0" w:firstLineChars="0"/>
        <w:rPr>
          <w:bCs/>
        </w:rPr>
      </w:pPr>
      <w:r>
        <w:rPr>
          <w:rFonts w:hint="eastAsia"/>
          <w:bCs/>
        </w:rPr>
        <w:t>3</w:t>
      </w:r>
      <w:r>
        <w:rPr>
          <w:bCs/>
        </w:rPr>
        <w:t xml:space="preserve">.8.3.2.2 </w:t>
      </w:r>
      <w:r>
        <w:rPr>
          <w:rFonts w:hint="eastAsia"/>
          <w:bCs/>
        </w:rPr>
        <w:t>夏剪</w:t>
      </w:r>
    </w:p>
    <w:p>
      <w:pPr>
        <w:pStyle w:val="23"/>
        <w:rPr>
          <w:bCs/>
        </w:rPr>
      </w:pPr>
      <w:r>
        <w:rPr>
          <w:bCs/>
        </w:rPr>
        <w:t>夏剪的</w:t>
      </w:r>
      <w:r>
        <w:rPr>
          <w:rFonts w:hint="eastAsia"/>
          <w:bCs/>
        </w:rPr>
        <w:t>目的主要是控梢保果和促发健壮秋梢。</w:t>
      </w:r>
      <w:r>
        <w:rPr>
          <w:bCs/>
        </w:rPr>
        <w:t>结果树要平衡好营养生长和生殖生长才能</w:t>
      </w:r>
      <w:r>
        <w:rPr>
          <w:rFonts w:hint="eastAsia"/>
          <w:bCs/>
        </w:rPr>
        <w:t>实现</w:t>
      </w:r>
      <w:r>
        <w:rPr>
          <w:bCs/>
        </w:rPr>
        <w:t>丰产优质</w:t>
      </w:r>
      <w:r>
        <w:rPr>
          <w:rFonts w:hint="eastAsia"/>
          <w:bCs/>
        </w:rPr>
        <w:t>，夏梢一般要进行抹除，同时可通过多留果、调控肥水、环剥和抹梢等手段来控夏梢；在放秋梢前7-15天进行修剪，修剪对象主要是树冠上部落花落果枝、营养枝、扫把枝、衰退枝、交叉枝和病虫害枝；修剪程度以当年结果量和树势而定，剪口量约占全株末次梢量的1/</w:t>
      </w:r>
      <w:r>
        <w:rPr>
          <w:bCs/>
        </w:rPr>
        <w:t>2</w:t>
      </w:r>
      <w:r>
        <w:rPr>
          <w:rFonts w:hint="eastAsia"/>
          <w:bCs/>
        </w:rPr>
        <w:t>-</w:t>
      </w:r>
      <w:r>
        <w:rPr>
          <w:bCs/>
        </w:rPr>
        <w:t>2/3</w:t>
      </w:r>
      <w:r>
        <w:rPr>
          <w:rFonts w:hint="eastAsia"/>
          <w:bCs/>
        </w:rPr>
        <w:t>，并注意剪口芽的方位。</w:t>
      </w:r>
    </w:p>
    <w:p>
      <w:pPr>
        <w:pStyle w:val="23"/>
        <w:ind w:firstLine="0" w:firstLineChars="0"/>
        <w:rPr>
          <w:bCs/>
        </w:rPr>
      </w:pPr>
      <w:r>
        <w:rPr>
          <w:bCs/>
        </w:rPr>
        <w:t>3.8</w:t>
      </w:r>
      <w:r>
        <w:rPr>
          <w:rFonts w:hint="eastAsia"/>
          <w:bCs/>
        </w:rPr>
        <w:t>.3.</w:t>
      </w:r>
      <w:r>
        <w:rPr>
          <w:bCs/>
        </w:rPr>
        <w:t>3</w:t>
      </w:r>
      <w:r>
        <w:rPr>
          <w:rFonts w:hint="eastAsia"/>
          <w:bCs/>
        </w:rPr>
        <w:t xml:space="preserve">  荫蔽和衰老树更新修剪  </w:t>
      </w:r>
    </w:p>
    <w:p>
      <w:pPr>
        <w:pStyle w:val="23"/>
        <w:rPr>
          <w:b/>
          <w:bCs/>
        </w:rPr>
      </w:pPr>
      <w:r>
        <w:rPr>
          <w:bCs/>
        </w:rPr>
        <w:t>对</w:t>
      </w:r>
      <w:r>
        <w:rPr>
          <w:rFonts w:hint="eastAsia"/>
          <w:bCs/>
        </w:rPr>
        <w:t>荫蔽果园进行隔行重回缩轮换更新，</w:t>
      </w:r>
      <w:r>
        <w:rPr>
          <w:bCs/>
        </w:rPr>
        <w:t>衰老树要</w:t>
      </w:r>
      <w:r>
        <w:rPr>
          <w:rFonts w:hint="eastAsia"/>
          <w:bCs/>
        </w:rPr>
        <w:t>减少花量，舍弃全部产量以恢复树势。在回缩衰弱枝组的基础上，疏删密弱枝群，短截所有夏、秋梢营养枝和有叶结果枝。极衰弱植株在萌芽前对侧枝或主枝进行重回缩处理。衰老树经更新修剪后促发优质的春梢，对夏、秋梢应进行短强、留中、去弱的修剪处理。</w:t>
      </w:r>
    </w:p>
    <w:p>
      <w:pPr>
        <w:pStyle w:val="23"/>
        <w:ind w:firstLine="422"/>
        <w:rPr>
          <w:b/>
          <w:bCs/>
        </w:rPr>
      </w:pPr>
    </w:p>
    <w:p>
      <w:pPr>
        <w:pStyle w:val="23"/>
        <w:ind w:firstLine="0" w:firstLineChars="0"/>
        <w:rPr>
          <w:b/>
          <w:bCs/>
        </w:rPr>
      </w:pPr>
      <w:r>
        <w:rPr>
          <w:b/>
          <w:bCs/>
        </w:rPr>
        <w:t>3.9</w:t>
      </w:r>
      <w:r>
        <w:rPr>
          <w:rFonts w:hint="eastAsia"/>
          <w:b/>
          <w:bCs/>
        </w:rPr>
        <w:t xml:space="preserve"> 花果管理</w:t>
      </w:r>
    </w:p>
    <w:p>
      <w:pPr>
        <w:pStyle w:val="23"/>
        <w:ind w:firstLine="0" w:firstLineChars="0"/>
        <w:rPr>
          <w:bCs/>
        </w:rPr>
      </w:pPr>
      <w:r>
        <w:rPr>
          <w:bCs/>
        </w:rPr>
        <w:t>3.9.1 促花</w:t>
      </w:r>
    </w:p>
    <w:p>
      <w:pPr>
        <w:pStyle w:val="23"/>
        <w:rPr>
          <w:bCs/>
        </w:rPr>
      </w:pPr>
      <w:r>
        <w:rPr>
          <w:bCs/>
        </w:rPr>
        <w:t>通过适时放秋梢</w:t>
      </w:r>
      <w:r>
        <w:rPr>
          <w:rFonts w:hint="eastAsia"/>
          <w:bCs/>
        </w:rPr>
        <w:t>、</w:t>
      </w:r>
      <w:r>
        <w:rPr>
          <w:bCs/>
        </w:rPr>
        <w:t>控冬梢</w:t>
      </w:r>
      <w:r>
        <w:rPr>
          <w:rFonts w:hint="eastAsia"/>
          <w:bCs/>
        </w:rPr>
        <w:t>、</w:t>
      </w:r>
      <w:r>
        <w:rPr>
          <w:bCs/>
        </w:rPr>
        <w:t>增施有机肥</w:t>
      </w:r>
      <w:r>
        <w:rPr>
          <w:rFonts w:hint="eastAsia"/>
          <w:bCs/>
        </w:rPr>
        <w:t>、</w:t>
      </w:r>
      <w:r>
        <w:rPr>
          <w:bCs/>
        </w:rPr>
        <w:t>断根</w:t>
      </w:r>
      <w:r>
        <w:rPr>
          <w:rFonts w:hint="eastAsia"/>
          <w:bCs/>
        </w:rPr>
        <w:t>、</w:t>
      </w:r>
      <w:r>
        <w:rPr>
          <w:bCs/>
        </w:rPr>
        <w:t>适当控水</w:t>
      </w:r>
      <w:r>
        <w:rPr>
          <w:rFonts w:hint="eastAsia"/>
          <w:bCs/>
        </w:rPr>
        <w:t>、</w:t>
      </w:r>
      <w:r>
        <w:rPr>
          <w:bCs/>
        </w:rPr>
        <w:t>环割等措施进行促花</w:t>
      </w:r>
      <w:r>
        <w:rPr>
          <w:rFonts w:hint="eastAsia"/>
          <w:bCs/>
        </w:rPr>
        <w:t>。</w:t>
      </w:r>
      <w:r>
        <w:rPr>
          <w:bCs/>
        </w:rPr>
        <w:t>一般</w:t>
      </w:r>
      <w:r>
        <w:rPr>
          <w:rFonts w:hint="eastAsia"/>
          <w:bCs/>
        </w:rPr>
        <w:t>7</w:t>
      </w:r>
      <w:r>
        <w:rPr>
          <w:bCs/>
        </w:rPr>
        <w:t>月中下旬至8月上旬施壮果促梢肥</w:t>
      </w:r>
      <w:r>
        <w:rPr>
          <w:rFonts w:hint="eastAsia"/>
          <w:bCs/>
        </w:rPr>
        <w:t>，</w:t>
      </w:r>
      <w:r>
        <w:rPr>
          <w:bCs/>
        </w:rPr>
        <w:t>促发良好秋梢。其中</w:t>
      </w:r>
      <w:r>
        <w:rPr>
          <w:rFonts w:hint="eastAsia"/>
          <w:bCs/>
        </w:rPr>
        <w:t>，</w:t>
      </w:r>
      <w:r>
        <w:rPr>
          <w:bCs/>
        </w:rPr>
        <w:t>秋梢老熟后对壮旺树进行断根，断根量1/5</w:t>
      </w:r>
      <w:r>
        <w:rPr>
          <w:rFonts w:hint="eastAsia"/>
          <w:bCs/>
        </w:rPr>
        <w:t>～</w:t>
      </w:r>
      <w:r>
        <w:rPr>
          <w:bCs/>
        </w:rPr>
        <w:t>1/3，深度15cm</w:t>
      </w:r>
      <w:r>
        <w:rPr>
          <w:rFonts w:hint="eastAsia"/>
          <w:bCs/>
        </w:rPr>
        <w:t>～2</w:t>
      </w:r>
      <w:r>
        <w:rPr>
          <w:bCs/>
        </w:rPr>
        <w:t>5cm</w:t>
      </w:r>
      <w:r>
        <w:rPr>
          <w:rFonts w:hint="eastAsia"/>
          <w:bCs/>
        </w:rPr>
        <w:t>；</w:t>
      </w:r>
      <w:r>
        <w:rPr>
          <w:bCs/>
        </w:rPr>
        <w:t>对壮旺树于9月下旬</w:t>
      </w:r>
      <w:r>
        <w:rPr>
          <w:rFonts w:hint="eastAsia"/>
          <w:bCs/>
        </w:rPr>
        <w:t>-</w:t>
      </w:r>
      <w:r>
        <w:rPr>
          <w:bCs/>
        </w:rPr>
        <w:t>11月</w:t>
      </w:r>
      <w:r>
        <w:rPr>
          <w:rFonts w:hint="eastAsia"/>
          <w:bCs/>
        </w:rPr>
        <w:t>中</w:t>
      </w:r>
      <w:r>
        <w:rPr>
          <w:bCs/>
        </w:rPr>
        <w:t>旬在主干或主枝上环割</w:t>
      </w:r>
      <w:r>
        <w:rPr>
          <w:rFonts w:hint="eastAsia"/>
          <w:bCs/>
        </w:rPr>
        <w:t>1-</w:t>
      </w:r>
      <w:r>
        <w:rPr>
          <w:bCs/>
        </w:rPr>
        <w:t>2刀</w:t>
      </w:r>
      <w:r>
        <w:rPr>
          <w:rFonts w:hint="eastAsia"/>
          <w:bCs/>
        </w:rPr>
        <w:t>，</w:t>
      </w:r>
      <w:r>
        <w:rPr>
          <w:bCs/>
        </w:rPr>
        <w:t>环割深度以不伤及木质部为准。</w:t>
      </w:r>
      <w:r>
        <w:rPr>
          <w:rFonts w:hint="eastAsia"/>
          <w:bCs/>
        </w:rPr>
        <w:t>在秋梢老熟后，叶面喷施1次～2次15%多效唑可湿性粉剂400倍液或25%多效唑悬乳剂1</w:t>
      </w:r>
      <w:r>
        <w:rPr>
          <w:bCs/>
        </w:rPr>
        <w:t>000</w:t>
      </w:r>
      <w:r>
        <w:rPr>
          <w:rFonts w:hint="eastAsia"/>
          <w:bCs/>
        </w:rPr>
        <w:t>倍液。</w:t>
      </w:r>
    </w:p>
    <w:p>
      <w:pPr>
        <w:pStyle w:val="23"/>
        <w:ind w:firstLine="0" w:firstLineChars="0"/>
        <w:rPr>
          <w:bCs/>
        </w:rPr>
      </w:pPr>
      <w:r>
        <w:rPr>
          <w:bCs/>
        </w:rPr>
        <w:t>3.9.2 保花保果</w:t>
      </w:r>
    </w:p>
    <w:p>
      <w:pPr>
        <w:pStyle w:val="23"/>
        <w:rPr>
          <w:bCs/>
        </w:rPr>
      </w:pPr>
      <w:r>
        <w:rPr>
          <w:bCs/>
        </w:rPr>
        <w:t>通过合理的肥水调控，及时补充养分，以满足枝梢生长和果实发育对营养的需求。花前、花期叶面喷施0.2%尿素</w:t>
      </w:r>
      <w:r>
        <w:rPr>
          <w:rFonts w:hint="eastAsia"/>
          <w:bCs/>
        </w:rPr>
        <w:t>+</w:t>
      </w:r>
      <w:r>
        <w:rPr>
          <w:bCs/>
        </w:rPr>
        <w:t>0.2</w:t>
      </w:r>
      <w:r>
        <w:rPr>
          <w:rFonts w:hint="eastAsia"/>
          <w:bCs/>
        </w:rPr>
        <w:t>～</w:t>
      </w:r>
      <w:r>
        <w:rPr>
          <w:bCs/>
        </w:rPr>
        <w:t>0.3%磷酸二氢钾叶面肥1次</w:t>
      </w:r>
      <w:r>
        <w:rPr>
          <w:rFonts w:hint="eastAsia"/>
          <w:bCs/>
        </w:rPr>
        <w:t>～</w:t>
      </w:r>
      <w:r>
        <w:rPr>
          <w:bCs/>
        </w:rPr>
        <w:t>2次。</w:t>
      </w:r>
      <w:r>
        <w:rPr>
          <w:rFonts w:hint="eastAsia"/>
        </w:rPr>
        <w:t>在第1次生理落果后</w:t>
      </w:r>
      <w:r>
        <w:rPr>
          <w:rFonts w:hint="eastAsia"/>
          <w:bCs/>
        </w:rPr>
        <w:t>～</w:t>
      </w:r>
      <w:r>
        <w:rPr>
          <w:rFonts w:hint="eastAsia"/>
        </w:rPr>
        <w:t>第2次生理落果前，叶面喷施1次8mg/</w:t>
      </w:r>
      <w:r>
        <w:t>l</w:t>
      </w:r>
      <w:r>
        <w:rPr>
          <w:rFonts w:hint="eastAsia" w:hAnsi="宋体"/>
        </w:rPr>
        <w:t>～</w:t>
      </w:r>
      <w:r>
        <w:rPr>
          <w:rFonts w:hint="eastAsia"/>
        </w:rPr>
        <w:t>10 mg/l的2，4－D钠盐溶液。</w:t>
      </w:r>
      <w:r>
        <w:rPr>
          <w:bCs/>
        </w:rPr>
        <w:t>开花过多时，疏去一部分花序</w:t>
      </w:r>
      <w:r>
        <w:rPr>
          <w:rFonts w:hint="eastAsia"/>
          <w:bCs/>
        </w:rPr>
        <w:t>,</w:t>
      </w:r>
      <w:r>
        <w:rPr>
          <w:bCs/>
        </w:rPr>
        <w:t>疏花后着果仍过多的，可结合夏剪疏除病虫果、畸形果、机械损伤果、小果，合理载果</w:t>
      </w:r>
      <w:r>
        <w:rPr>
          <w:rFonts w:hint="eastAsia"/>
          <w:bCs/>
        </w:rPr>
        <w:t>，</w:t>
      </w:r>
      <w:r>
        <w:rPr>
          <w:bCs/>
        </w:rPr>
        <w:t>叶果比</w:t>
      </w:r>
      <w:r>
        <w:rPr>
          <w:rFonts w:hint="eastAsia"/>
          <w:bCs/>
        </w:rPr>
        <w:t>（</w:t>
      </w:r>
      <w:r>
        <w:rPr>
          <w:bCs/>
        </w:rPr>
        <w:t>50</w:t>
      </w:r>
      <w:r>
        <w:rPr>
          <w:rFonts w:hint="eastAsia"/>
          <w:bCs/>
        </w:rPr>
        <w:t>～</w:t>
      </w:r>
      <w:r>
        <w:rPr>
          <w:bCs/>
        </w:rPr>
        <w:t>70</w:t>
      </w:r>
      <w:r>
        <w:rPr>
          <w:rFonts w:hint="eastAsia"/>
          <w:bCs/>
        </w:rPr>
        <w:t>）：</w:t>
      </w:r>
      <w:r>
        <w:rPr>
          <w:bCs/>
        </w:rPr>
        <w:t>1</w:t>
      </w:r>
      <w:r>
        <w:rPr>
          <w:rFonts w:hint="eastAsia"/>
          <w:bCs/>
        </w:rPr>
        <w:t>为</w:t>
      </w:r>
      <w:r>
        <w:rPr>
          <w:bCs/>
        </w:rPr>
        <w:t>宜。</w:t>
      </w:r>
    </w:p>
    <w:p>
      <w:pPr>
        <w:pStyle w:val="23"/>
        <w:ind w:firstLine="422"/>
        <w:rPr>
          <w:b/>
          <w:bCs/>
        </w:rPr>
      </w:pPr>
    </w:p>
    <w:p>
      <w:pPr>
        <w:pStyle w:val="23"/>
        <w:ind w:firstLine="0" w:firstLineChars="0"/>
        <w:rPr>
          <w:b/>
          <w:bCs/>
        </w:rPr>
      </w:pPr>
      <w:r>
        <w:rPr>
          <w:b/>
          <w:bCs/>
        </w:rPr>
        <w:t>3.10</w:t>
      </w:r>
      <w:r>
        <w:rPr>
          <w:rFonts w:hint="eastAsia"/>
          <w:b/>
          <w:bCs/>
        </w:rPr>
        <w:t xml:space="preserve">  病虫害防治</w:t>
      </w:r>
    </w:p>
    <w:p>
      <w:pPr>
        <w:pStyle w:val="23"/>
        <w:ind w:firstLine="0" w:firstLineChars="0"/>
        <w:rPr>
          <w:bCs/>
        </w:rPr>
      </w:pPr>
      <w:r>
        <w:rPr>
          <w:bCs/>
        </w:rPr>
        <w:t>3.10</w:t>
      </w:r>
      <w:r>
        <w:rPr>
          <w:rFonts w:hint="eastAsia"/>
          <w:bCs/>
        </w:rPr>
        <w:t>.1  防治原则</w:t>
      </w:r>
    </w:p>
    <w:p>
      <w:pPr>
        <w:pStyle w:val="23"/>
        <w:rPr>
          <w:bCs/>
        </w:rPr>
      </w:pPr>
      <w:r>
        <w:rPr>
          <w:rFonts w:hint="eastAsia"/>
          <w:bCs/>
        </w:rPr>
        <w:t>积极贯彻“预防为主，综合防治”的植保方针，优先使用农业防治、物理防治和生物防治为核心，按照病虫害发生规律，科学使用化学防治技术，有效控制病虫害；根据防治对象的生物学特性和为害特点，在病虫测报的基础上，使用与环境友好、高效低毒、低残的农药。主要使用生物源农药、矿物源农药，并交替使用农药。禁止使用剧毒、高毒、高残留和致畸、致癌、致突变的农药。</w:t>
      </w:r>
    </w:p>
    <w:p>
      <w:pPr>
        <w:pStyle w:val="23"/>
        <w:ind w:firstLine="0" w:firstLineChars="0"/>
        <w:rPr>
          <w:bCs/>
        </w:rPr>
      </w:pPr>
      <w:r>
        <w:rPr>
          <w:bCs/>
        </w:rPr>
        <w:t>3.10</w:t>
      </w:r>
      <w:r>
        <w:rPr>
          <w:rFonts w:hint="eastAsia"/>
          <w:bCs/>
        </w:rPr>
        <w:t>.2  检疫</w:t>
      </w:r>
    </w:p>
    <w:p>
      <w:pPr>
        <w:pStyle w:val="23"/>
        <w:rPr>
          <w:bCs/>
        </w:rPr>
      </w:pPr>
      <w:r>
        <w:rPr>
          <w:rFonts w:hint="eastAsia"/>
          <w:bCs/>
        </w:rPr>
        <w:t>禁止检疫性病虫害从疫区传入新区或保护区，禁止从疫区调运苗木、接穗、果实和种子，一经发现立即销毁。</w:t>
      </w:r>
    </w:p>
    <w:p>
      <w:pPr>
        <w:pStyle w:val="23"/>
        <w:ind w:firstLine="0" w:firstLineChars="0"/>
        <w:rPr>
          <w:bCs/>
        </w:rPr>
      </w:pPr>
      <w:r>
        <w:rPr>
          <w:bCs/>
        </w:rPr>
        <w:t>3.10</w:t>
      </w:r>
      <w:r>
        <w:rPr>
          <w:rFonts w:hint="eastAsia"/>
          <w:bCs/>
        </w:rPr>
        <w:t>.3  农业防治</w:t>
      </w:r>
    </w:p>
    <w:p>
      <w:pPr>
        <w:pStyle w:val="23"/>
        <w:rPr>
          <w:bCs/>
        </w:rPr>
      </w:pPr>
      <w:r>
        <w:rPr>
          <w:rFonts w:hint="eastAsia"/>
          <w:bCs/>
        </w:rPr>
        <w:t>按本标准相关要求进行苗木选择、科学肥水管理、合理负载、增强树势；合理整形修剪，保持树冠通风透光；加强冬季清园，剪除病虫枝、清除枯枝落叶、树干刷白；采用翻树盘、地面覆盖、排水、控梢等综合农业措施，提高树体抗病虫能力，抑制或减少病虫害的发生。</w:t>
      </w:r>
    </w:p>
    <w:p>
      <w:pPr>
        <w:pStyle w:val="23"/>
        <w:ind w:firstLine="0" w:firstLineChars="0"/>
        <w:rPr>
          <w:bCs/>
        </w:rPr>
      </w:pPr>
      <w:r>
        <w:rPr>
          <w:bCs/>
        </w:rPr>
        <w:t>3.10</w:t>
      </w:r>
      <w:r>
        <w:rPr>
          <w:rFonts w:hint="eastAsia"/>
          <w:bCs/>
        </w:rPr>
        <w:t>.4  物理防治</w:t>
      </w:r>
    </w:p>
    <w:p>
      <w:pPr>
        <w:pStyle w:val="23"/>
        <w:rPr>
          <w:bCs/>
          <w:color w:val="FF0000"/>
        </w:rPr>
      </w:pPr>
      <w:r>
        <w:rPr>
          <w:rFonts w:hint="eastAsia"/>
          <w:bCs/>
        </w:rPr>
        <w:t>根据害虫生物学特性，采用频振式杀虫灯、黑光灯、糖醋液、粘板和防虫网等物理及机械的方法诱杀各种柑橘害虫，并进行人工捕捉天牛、金龟子、凤蝶、蚱蝉、暴皮虫等害虫。</w:t>
      </w:r>
    </w:p>
    <w:p>
      <w:pPr>
        <w:pStyle w:val="23"/>
        <w:ind w:firstLine="0" w:firstLineChars="0"/>
        <w:rPr>
          <w:bCs/>
        </w:rPr>
      </w:pPr>
      <w:r>
        <w:rPr>
          <w:bCs/>
        </w:rPr>
        <w:t>3.10</w:t>
      </w:r>
      <w:r>
        <w:rPr>
          <w:rFonts w:hint="eastAsia"/>
          <w:bCs/>
        </w:rPr>
        <w:t>.5  生物防治</w:t>
      </w:r>
    </w:p>
    <w:p>
      <w:pPr>
        <w:pStyle w:val="23"/>
        <w:ind w:firstLine="0" w:firstLineChars="0"/>
        <w:rPr>
          <w:bCs/>
        </w:rPr>
      </w:pPr>
      <w:r>
        <w:rPr>
          <w:bCs/>
        </w:rPr>
        <w:t>3.10</w:t>
      </w:r>
      <w:r>
        <w:rPr>
          <w:rFonts w:hint="eastAsia"/>
          <w:bCs/>
        </w:rPr>
        <w:t>.5.1  人工繁殖和释放天敌</w:t>
      </w:r>
    </w:p>
    <w:p>
      <w:pPr>
        <w:pStyle w:val="23"/>
        <w:rPr>
          <w:bCs/>
        </w:rPr>
      </w:pPr>
      <w:r>
        <w:rPr>
          <w:rFonts w:hint="eastAsia"/>
          <w:bCs/>
        </w:rPr>
        <w:t>用尼氏钝绥螨或胡瓜钝绥螨等捕食螨防治红蜘蛛等螨类；用日本方头甲和湖北红点唇瓢虫等来防治矢尖蚧；用松毛虫赤眼蜂防治潜叶蛾等。</w:t>
      </w:r>
    </w:p>
    <w:p>
      <w:pPr>
        <w:pStyle w:val="23"/>
        <w:ind w:firstLine="0" w:firstLineChars="0"/>
        <w:rPr>
          <w:bCs/>
        </w:rPr>
      </w:pPr>
      <w:r>
        <w:rPr>
          <w:bCs/>
        </w:rPr>
        <w:t>3.10</w:t>
      </w:r>
      <w:r>
        <w:rPr>
          <w:rFonts w:hint="eastAsia"/>
          <w:bCs/>
        </w:rPr>
        <w:t>.5.2  应用生物和矿物源农药</w:t>
      </w:r>
    </w:p>
    <w:p>
      <w:pPr>
        <w:pStyle w:val="23"/>
        <w:rPr>
          <w:bCs/>
        </w:rPr>
      </w:pPr>
      <w:r>
        <w:rPr>
          <w:rFonts w:hint="eastAsia"/>
          <w:bCs/>
        </w:rPr>
        <w:t>提倡使用苏云金杆菌防控蓑蛾、尺蠖等蛾类害虫；采用苦烟水剂等生物农药防治蚜虫；采用王铜、氢氧化铜防控溃疡病；采用矿物油乳剂等矿物源农药防控螨类、蚧类害虫。</w:t>
      </w:r>
    </w:p>
    <w:p>
      <w:pPr>
        <w:pStyle w:val="23"/>
        <w:ind w:firstLine="0" w:firstLineChars="0"/>
        <w:rPr>
          <w:bCs/>
        </w:rPr>
      </w:pPr>
      <w:r>
        <w:rPr>
          <w:bCs/>
        </w:rPr>
        <w:t>3.10</w:t>
      </w:r>
      <w:r>
        <w:rPr>
          <w:rFonts w:hint="eastAsia"/>
          <w:bCs/>
        </w:rPr>
        <w:t xml:space="preserve">.5.3  利用性诱剂诱杀害虫  </w:t>
      </w:r>
    </w:p>
    <w:p>
      <w:pPr>
        <w:pStyle w:val="23"/>
        <w:ind w:firstLine="0" w:firstLineChars="0"/>
        <w:rPr>
          <w:bCs/>
        </w:rPr>
      </w:pPr>
      <w:r>
        <w:rPr>
          <w:rFonts w:hint="eastAsia"/>
          <w:bCs/>
        </w:rPr>
        <w:t xml:space="preserve">    在田间放置性引诱剂，采用性诱剂诱杀斜纹夜蛾等害虫；用甲基丁香酚诱杀柑桔小实蝇雄虫，减少与雌虫的交配机会。</w:t>
      </w:r>
    </w:p>
    <w:p>
      <w:pPr>
        <w:pStyle w:val="23"/>
        <w:ind w:firstLine="0" w:firstLineChars="0"/>
        <w:rPr>
          <w:bCs/>
        </w:rPr>
      </w:pPr>
      <w:r>
        <w:rPr>
          <w:bCs/>
        </w:rPr>
        <w:t>3.10</w:t>
      </w:r>
      <w:r>
        <w:rPr>
          <w:rFonts w:hint="eastAsia"/>
          <w:bCs/>
        </w:rPr>
        <w:t>.6  生态防控</w:t>
      </w:r>
    </w:p>
    <w:p>
      <w:pPr>
        <w:pStyle w:val="23"/>
        <w:rPr>
          <w:bCs/>
        </w:rPr>
      </w:pPr>
      <w:r>
        <w:rPr>
          <w:rFonts w:hint="eastAsia"/>
          <w:bCs/>
        </w:rPr>
        <w:t>在果园间种一些作物，周围种防护林，以改善果园小气候及生物群落结构，提高果园的生态稳定性，减少农药使用，保护瓢虫、草蛉、捕食螨等天敌。</w:t>
      </w:r>
    </w:p>
    <w:p>
      <w:pPr>
        <w:pStyle w:val="23"/>
        <w:ind w:firstLine="0" w:firstLineChars="0"/>
        <w:rPr>
          <w:bCs/>
        </w:rPr>
      </w:pPr>
      <w:r>
        <w:rPr>
          <w:bCs/>
        </w:rPr>
        <w:t>3.10</w:t>
      </w:r>
      <w:r>
        <w:rPr>
          <w:rFonts w:hint="eastAsia"/>
          <w:bCs/>
        </w:rPr>
        <w:t>.7  化学防治</w:t>
      </w:r>
    </w:p>
    <w:p>
      <w:pPr>
        <w:pStyle w:val="23"/>
        <w:rPr>
          <w:bCs/>
        </w:rPr>
      </w:pPr>
      <w:r>
        <w:rPr>
          <w:rFonts w:hint="eastAsia"/>
          <w:bCs/>
        </w:rPr>
        <w:t>使用药剂防治应符合GB／4285、GB／T8321(所有部分)、</w:t>
      </w:r>
      <w:r>
        <w:rPr>
          <w:bCs/>
        </w:rPr>
        <w:t>NY</w:t>
      </w:r>
      <w:r>
        <w:rPr>
          <w:rFonts w:hint="eastAsia"/>
          <w:bCs/>
        </w:rPr>
        <w:t>／</w:t>
      </w:r>
      <w:r>
        <w:rPr>
          <w:bCs/>
        </w:rPr>
        <w:t>T 393</w:t>
      </w:r>
      <w:r>
        <w:rPr>
          <w:rFonts w:hint="eastAsia"/>
          <w:bCs/>
        </w:rPr>
        <w:t>的相关要求。</w:t>
      </w:r>
    </w:p>
    <w:p>
      <w:pPr>
        <w:pStyle w:val="23"/>
        <w:ind w:firstLine="0" w:firstLineChars="0"/>
        <w:rPr>
          <w:bCs/>
        </w:rPr>
      </w:pPr>
      <w:r>
        <w:rPr>
          <w:bCs/>
        </w:rPr>
        <w:t>3.10</w:t>
      </w:r>
      <w:r>
        <w:rPr>
          <w:rFonts w:hint="eastAsia"/>
          <w:bCs/>
        </w:rPr>
        <w:t>.8  主要病虫害的防治</w:t>
      </w:r>
    </w:p>
    <w:p>
      <w:pPr>
        <w:pStyle w:val="23"/>
        <w:ind w:firstLine="0" w:firstLineChars="0"/>
        <w:rPr>
          <w:bCs/>
        </w:rPr>
      </w:pPr>
      <w:r>
        <w:rPr>
          <w:bCs/>
        </w:rPr>
        <w:t>3.10</w:t>
      </w:r>
      <w:r>
        <w:rPr>
          <w:rFonts w:hint="eastAsia"/>
          <w:bCs/>
        </w:rPr>
        <w:t xml:space="preserve">.8.1  黄龙病  </w:t>
      </w:r>
    </w:p>
    <w:p>
      <w:pPr>
        <w:pStyle w:val="23"/>
        <w:rPr>
          <w:bCs/>
        </w:rPr>
      </w:pPr>
      <w:r>
        <w:rPr>
          <w:rFonts w:hint="eastAsia"/>
          <w:bCs/>
        </w:rPr>
        <w:t>严格检疫，种植无病毒健康合格苗木，严禁疫区的苗木、接穗和果实传入新区、非疫区和保护区。统一放梢，每批新梢喷药防治木虱2次（参见柑橘木虱防治部分）；发现病树，及时挖除或砍伐，在挖除病树前，先用药剂防治木虱，防止木虱迁移传播病害，在砍树后留下的树兜从根部截断，在树桩截面划上十字形刀口，截口涂上高浓度的草甘磷或</w:t>
      </w:r>
      <w:r>
        <w:rPr>
          <w:bCs/>
        </w:rPr>
        <w:t>2.4</w:t>
      </w:r>
      <w:r>
        <w:rPr>
          <w:rFonts w:hint="eastAsia"/>
          <w:bCs/>
        </w:rPr>
        <w:t>-</w:t>
      </w:r>
      <w:r>
        <w:rPr>
          <w:bCs/>
        </w:rPr>
        <w:t>D</w:t>
      </w:r>
      <w:r>
        <w:rPr>
          <w:rFonts w:hint="eastAsia"/>
          <w:bCs/>
        </w:rPr>
        <w:t>原液，后用塑料袋包扎，用土覆盖压紧，防止萌发新芽。</w:t>
      </w:r>
    </w:p>
    <w:p>
      <w:pPr>
        <w:pStyle w:val="23"/>
        <w:ind w:firstLine="0" w:firstLineChars="0"/>
        <w:rPr>
          <w:bCs/>
        </w:rPr>
      </w:pPr>
      <w:r>
        <w:rPr>
          <w:bCs/>
        </w:rPr>
        <w:t>3.10</w:t>
      </w:r>
      <w:r>
        <w:rPr>
          <w:rFonts w:hint="eastAsia"/>
          <w:bCs/>
        </w:rPr>
        <w:t xml:space="preserve">.8.2  溃疡病  </w:t>
      </w:r>
    </w:p>
    <w:p>
      <w:pPr>
        <w:pStyle w:val="23"/>
        <w:rPr>
          <w:bCs/>
        </w:rPr>
      </w:pPr>
      <w:r>
        <w:rPr>
          <w:rFonts w:hint="eastAsia"/>
          <w:bCs/>
        </w:rPr>
        <w:t>严格检疫，严禁疫区的苗木、接穗和果实传入新区、非疫区和保护区，一经发现立即烧毁。加强栽培管理，新梢及台风雨前后喷药保护，同时注意防治潜叶蛾、叶甲类等害虫；于晴天无露水时剪除病枝、病叶、病果及落叶落果集中烧毁，剪后及时喷药保护伤口；控制夏梢，喷药保护新梢和幼果。新梢长2cm～3cm时或谢花后10d喷药1次，相隔7d～10d，连喷</w:t>
      </w:r>
      <w:r>
        <w:rPr>
          <w:bCs/>
        </w:rPr>
        <w:t>2</w:t>
      </w:r>
      <w:r>
        <w:rPr>
          <w:rFonts w:hint="eastAsia"/>
          <w:bCs/>
        </w:rPr>
        <w:t>次～</w:t>
      </w:r>
      <w:r>
        <w:rPr>
          <w:bCs/>
        </w:rPr>
        <w:t>3</w:t>
      </w:r>
      <w:r>
        <w:rPr>
          <w:rFonts w:hint="eastAsia"/>
          <w:bCs/>
        </w:rPr>
        <w:t>次。适用药剂有：可杀得叁千（氢氧化铜）1200倍～1500倍液、80%波尔多液400倍～600倍液、 0.5%～1.0%石灰倍量式波尔多液、 77%氧氯化铜可湿性粉剂400倍～600倍液、2%春雷霉素水剂600倍～800倍液等。</w:t>
      </w:r>
    </w:p>
    <w:p>
      <w:pPr>
        <w:pStyle w:val="23"/>
        <w:ind w:firstLine="0" w:firstLineChars="0"/>
        <w:rPr>
          <w:bCs/>
        </w:rPr>
      </w:pPr>
      <w:r>
        <w:rPr>
          <w:bCs/>
        </w:rPr>
        <w:t>3.10</w:t>
      </w:r>
      <w:r>
        <w:rPr>
          <w:rFonts w:hint="eastAsia"/>
          <w:bCs/>
        </w:rPr>
        <w:t xml:space="preserve">.8.3  炭疽病 </w:t>
      </w:r>
    </w:p>
    <w:p>
      <w:pPr>
        <w:pStyle w:val="23"/>
        <w:rPr>
          <w:bCs/>
        </w:rPr>
      </w:pPr>
      <w:r>
        <w:rPr>
          <w:rFonts w:hint="eastAsia"/>
          <w:bCs/>
        </w:rPr>
        <w:t>加强栽培管理，增强树势，保持树冠通风透光；剪除病枝叶、烧毁，</w:t>
      </w:r>
      <w:r>
        <w:rPr>
          <w:rFonts w:hint="eastAsia"/>
        </w:rPr>
        <w:t>冬季清园，减少病源；发病多的果园，在春、夏梢嫩梢期和幼果期用药防治，可选用25%咪鲜胺800倍～1000倍液、80%大生M-45可湿性粉剂500倍～800倍液、50%退菌特可湿性粉剂500倍～700倍液、50%代森锰锌500倍～800倍液、25%苯醚甲环唑2500倍</w:t>
      </w:r>
      <w:r>
        <w:rPr>
          <w:rFonts w:hint="eastAsia" w:hAnsi="宋体"/>
        </w:rPr>
        <w:t>～</w:t>
      </w:r>
      <w:r>
        <w:rPr>
          <w:rFonts w:hint="eastAsia"/>
        </w:rPr>
        <w:t>3000倍液等药剂喷</w:t>
      </w:r>
      <w:r>
        <w:t>1</w:t>
      </w:r>
      <w:r>
        <w:rPr>
          <w:rFonts w:hint="eastAsia"/>
        </w:rPr>
        <w:t>次～</w:t>
      </w:r>
      <w:r>
        <w:t>2</w:t>
      </w:r>
      <w:r>
        <w:rPr>
          <w:rFonts w:hint="eastAsia"/>
        </w:rPr>
        <w:t>次，隔</w:t>
      </w:r>
      <w:r>
        <w:t>20d</w:t>
      </w:r>
      <w:r>
        <w:rPr>
          <w:rFonts w:hint="eastAsia"/>
        </w:rPr>
        <w:t>用药。</w:t>
      </w:r>
    </w:p>
    <w:p>
      <w:pPr>
        <w:pStyle w:val="23"/>
        <w:ind w:firstLine="0" w:firstLineChars="0"/>
        <w:rPr>
          <w:bCs/>
        </w:rPr>
      </w:pPr>
      <w:r>
        <w:rPr>
          <w:bCs/>
        </w:rPr>
        <w:t>3.10</w:t>
      </w:r>
      <w:r>
        <w:rPr>
          <w:rFonts w:hint="eastAsia"/>
          <w:bCs/>
        </w:rPr>
        <w:t>.8.</w:t>
      </w:r>
      <w:r>
        <w:rPr>
          <w:bCs/>
        </w:rPr>
        <w:t>4</w:t>
      </w:r>
      <w:r>
        <w:rPr>
          <w:rFonts w:hint="eastAsia"/>
          <w:bCs/>
        </w:rPr>
        <w:t xml:space="preserve">  </w:t>
      </w:r>
      <w:r>
        <w:rPr>
          <w:bCs/>
        </w:rPr>
        <w:t>柑橘</w:t>
      </w:r>
      <w:r>
        <w:rPr>
          <w:rFonts w:hint="eastAsia"/>
          <w:bCs/>
        </w:rPr>
        <w:t>树脂病</w:t>
      </w:r>
    </w:p>
    <w:p>
      <w:pPr>
        <w:pStyle w:val="23"/>
        <w:ind w:firstLine="0" w:firstLineChars="0"/>
        <w:rPr>
          <w:rFonts w:hAnsi="宋体"/>
        </w:rPr>
      </w:pPr>
      <w:r>
        <w:rPr>
          <w:rFonts w:hint="eastAsia"/>
          <w:bCs/>
        </w:rPr>
        <w:t xml:space="preserve"> </w:t>
      </w:r>
      <w:r>
        <w:rPr>
          <w:bCs/>
        </w:rPr>
        <w:t xml:space="preserve">  </w:t>
      </w:r>
      <w:r>
        <w:rPr>
          <w:rFonts w:hint="eastAsia" w:hAnsi="宋体"/>
        </w:rPr>
        <w:t>增施有机肥，喷富含磷钾叶面肥，培养健壮枝梢，保持良好树冠通透性，提高抗病能力；及时抹除冬梢，避免冻害；清洁果园，剪除病枝、衰弱枝、枯枝，并集中烧毁，减少病源；对枝干上的病部，及时用利刀刮净病灶后用1:2:10（硫酸铜：石灰：水）的波尔多浆或自制石硫合剂渣液原药或25%瑞青霉可湿性粉剂100～200倍液等药剂涂抹刮净的病部及附近整个枝干部位；在新梢、叶片、果实生长期结合其它病虫害防治及时喷药保护，适用药物有0.8～1石灰等量式波尔多液，75%百菌清乳油800倍液，12%健武乳油（氟唑菌酰胺6%·氟环唑6%）1000倍液，60%百泰（吡唑醚菌酯5%·代森联55%）水分散粉剂1000倍液，80%克菌丹水分散粒剂600～800倍液，80%大生M-45（代森锰锌）可湿性粉剂600倍液，40%福星（氟硅唑）乳油1500～2000倍液等。</w:t>
      </w:r>
    </w:p>
    <w:p>
      <w:pPr>
        <w:pStyle w:val="23"/>
        <w:spacing w:line="320" w:lineRule="exact"/>
        <w:ind w:firstLine="0" w:firstLineChars="0"/>
        <w:rPr>
          <w:rFonts w:hAnsi="宋体"/>
        </w:rPr>
      </w:pPr>
      <w:r>
        <w:rPr>
          <w:rFonts w:hint="eastAsia" w:hAnsi="宋体"/>
        </w:rPr>
        <w:t>3.</w:t>
      </w:r>
      <w:r>
        <w:rPr>
          <w:rFonts w:hAnsi="宋体"/>
        </w:rPr>
        <w:t>10</w:t>
      </w:r>
      <w:r>
        <w:rPr>
          <w:rFonts w:hint="eastAsia" w:hAnsi="宋体"/>
        </w:rPr>
        <w:t>.8</w:t>
      </w:r>
      <w:r>
        <w:rPr>
          <w:rFonts w:hAnsi="宋体"/>
        </w:rPr>
        <w:t>.5</w:t>
      </w:r>
      <w:r>
        <w:rPr>
          <w:rFonts w:hint="eastAsia" w:hAnsi="宋体"/>
        </w:rPr>
        <w:t>　柑橘木虱</w:t>
      </w:r>
    </w:p>
    <w:p>
      <w:pPr>
        <w:pStyle w:val="19"/>
        <w:spacing w:before="78" w:after="78" w:line="320" w:lineRule="exact"/>
        <w:ind w:firstLine="420" w:firstLineChars="200"/>
        <w:rPr>
          <w:b/>
          <w:bCs/>
          <w:caps/>
          <w:kern w:val="0"/>
          <w:szCs w:val="20"/>
        </w:rPr>
      </w:pPr>
      <w:r>
        <w:rPr>
          <w:rFonts w:hint="eastAsia"/>
        </w:rPr>
        <w:t>清</w:t>
      </w:r>
      <w:r>
        <w:rPr>
          <w:rFonts w:hint="eastAsia"/>
          <w:kern w:val="0"/>
          <w:szCs w:val="20"/>
        </w:rPr>
        <w:t>除果园周围的九里香、黄皮等同科寄主植物，于采果后砍伐并挖除黄龙病株，注意营造防护林阻隔，减少虫源；冬季清园，及时剪除病虫枝梢；控冬梢和早发梢，春、秋梢期统一放梢，并用药剂防治，每一次新梢期喷1-2次药，每次间隔5d～7d。适用药剂：20%甲氰菊酯乳油1000倍液、20%哒虱威乳油1000倍液、4.5%高效氯氰菊酯乳油1000倍液等。</w:t>
      </w:r>
    </w:p>
    <w:p>
      <w:pPr>
        <w:pStyle w:val="23"/>
        <w:ind w:firstLine="0" w:firstLineChars="0"/>
        <w:rPr>
          <w:bCs/>
        </w:rPr>
      </w:pPr>
      <w:r>
        <w:rPr>
          <w:bCs/>
        </w:rPr>
        <w:t>3.10</w:t>
      </w:r>
      <w:r>
        <w:rPr>
          <w:rFonts w:hint="eastAsia"/>
          <w:bCs/>
        </w:rPr>
        <w:t>.8.</w:t>
      </w:r>
      <w:r>
        <w:rPr>
          <w:bCs/>
        </w:rPr>
        <w:t>6</w:t>
      </w:r>
      <w:r>
        <w:rPr>
          <w:rFonts w:hint="eastAsia"/>
          <w:bCs/>
        </w:rPr>
        <w:t xml:space="preserve">  潜叶蛾 </w:t>
      </w:r>
    </w:p>
    <w:p>
      <w:pPr>
        <w:pStyle w:val="23"/>
        <w:rPr>
          <w:bCs/>
        </w:rPr>
      </w:pPr>
      <w:r>
        <w:rPr>
          <w:rFonts w:hint="eastAsia"/>
          <w:bCs/>
        </w:rPr>
        <w:t>防治重点时期为夏梢和秋梢期，统一放梢，</w:t>
      </w:r>
      <w:r>
        <w:rPr>
          <w:rFonts w:hint="eastAsia"/>
        </w:rPr>
        <w:t>新梢</w:t>
      </w:r>
      <w:r>
        <w:rPr>
          <w:rFonts w:hint="eastAsia"/>
          <w:bCs/>
        </w:rPr>
        <w:t>萌芽至约</w:t>
      </w:r>
      <w:r>
        <w:t>3mm</w:t>
      </w:r>
      <w:r>
        <w:rPr>
          <w:rFonts w:hint="eastAsia"/>
        </w:rPr>
        <w:t>或全园抽梢约四分之一时喷药防控，以后每隔</w:t>
      </w:r>
      <w:r>
        <w:t>7d</w:t>
      </w:r>
      <w:r>
        <w:rPr>
          <w:rFonts w:hint="eastAsia"/>
        </w:rPr>
        <w:t>喷一次，连喷</w:t>
      </w:r>
      <w:r>
        <w:t>2</w:t>
      </w:r>
      <w:r>
        <w:rPr>
          <w:rFonts w:hint="eastAsia"/>
        </w:rPr>
        <w:t>次～</w:t>
      </w:r>
      <w:r>
        <w:t>3</w:t>
      </w:r>
      <w:r>
        <w:rPr>
          <w:rFonts w:hint="eastAsia"/>
        </w:rPr>
        <w:t>次。适用药剂：</w:t>
      </w:r>
      <w:r>
        <w:rPr>
          <w:rFonts w:hint="eastAsia" w:hAnsi="宋体"/>
          <w:color w:val="000000"/>
        </w:rPr>
        <w:t>3%啶虫脒</w:t>
      </w:r>
      <w:r>
        <w:rPr>
          <w:rFonts w:hint="eastAsia" w:hAnsi="宋体"/>
          <w:color w:val="000000"/>
          <w:shd w:val="clear" w:color="auto" w:fill="F5F7F9"/>
        </w:rPr>
        <w:t>乳油</w:t>
      </w:r>
      <w:r>
        <w:rPr>
          <w:rFonts w:hint="eastAsia" w:hAnsi="宋体"/>
          <w:color w:val="000000"/>
        </w:rPr>
        <w:t>1500倍～2000倍液、10%吡虫啉可湿性粉剂2000倍液、</w:t>
      </w:r>
      <w:r>
        <w:rPr>
          <w:rStyle w:val="152"/>
          <w:rFonts w:hint="eastAsia" w:hAnsi="宋体"/>
          <w:color w:val="000000"/>
        </w:rPr>
        <w:t>1.8%阿维菌素乳油1000倍～1200倍液、毒死蜱乳油1000倍~1500倍液、25%噻虫嗪水分散粒剂1500倍液</w:t>
      </w:r>
      <w:r>
        <w:rPr>
          <w:rFonts w:hint="eastAsia"/>
          <w:bCs/>
        </w:rPr>
        <w:t>等。</w:t>
      </w:r>
    </w:p>
    <w:p>
      <w:pPr>
        <w:pStyle w:val="23"/>
        <w:ind w:firstLine="0" w:firstLineChars="0"/>
        <w:rPr>
          <w:bCs/>
        </w:rPr>
      </w:pPr>
      <w:r>
        <w:rPr>
          <w:bCs/>
        </w:rPr>
        <w:t>3.10</w:t>
      </w:r>
      <w:r>
        <w:rPr>
          <w:rFonts w:hint="eastAsia"/>
          <w:bCs/>
        </w:rPr>
        <w:t>.8.</w:t>
      </w:r>
      <w:r>
        <w:rPr>
          <w:bCs/>
        </w:rPr>
        <w:t>7</w:t>
      </w:r>
      <w:r>
        <w:rPr>
          <w:rFonts w:hint="eastAsia"/>
          <w:bCs/>
        </w:rPr>
        <w:t xml:space="preserve">  害螨（红蜘蛛、黄蜘蛛、锈壁虱等）</w:t>
      </w:r>
    </w:p>
    <w:p>
      <w:pPr>
        <w:pStyle w:val="23"/>
        <w:rPr>
          <w:bCs/>
        </w:rPr>
      </w:pPr>
      <w:r>
        <w:rPr>
          <w:bCs/>
        </w:rPr>
        <w:t>加强</w:t>
      </w:r>
      <w:r>
        <w:rPr>
          <w:rFonts w:hint="eastAsia"/>
        </w:rPr>
        <w:t>冬季清园，减少虫源；保护天敌；掌握害螨发生规律，及时用药防控，</w:t>
      </w:r>
      <w:r>
        <w:rPr>
          <w:rFonts w:hint="eastAsia"/>
          <w:bCs/>
        </w:rPr>
        <w:t>开花前后、秋季、果实转色期等是重点防治时期，防治指标：红蜘蛛（柑橘全爪螨）：春、秋季平均每叶有螨</w:t>
      </w:r>
      <w:r>
        <w:rPr>
          <w:bCs/>
        </w:rPr>
        <w:t>2</w:t>
      </w:r>
      <w:r>
        <w:rPr>
          <w:rFonts w:ascii="Times New Roman"/>
          <w:bCs/>
        </w:rPr>
        <w:t>~</w:t>
      </w:r>
      <w:r>
        <w:rPr>
          <w:bCs/>
        </w:rPr>
        <w:t>3</w:t>
      </w:r>
      <w:r>
        <w:rPr>
          <w:rFonts w:hint="eastAsia"/>
          <w:bCs/>
        </w:rPr>
        <w:t>头，夏梢</w:t>
      </w:r>
      <w:r>
        <w:rPr>
          <w:bCs/>
        </w:rPr>
        <w:t>4</w:t>
      </w:r>
      <w:r>
        <w:rPr>
          <w:rFonts w:ascii="Times New Roman"/>
          <w:bCs/>
        </w:rPr>
        <w:t>~</w:t>
      </w:r>
      <w:r>
        <w:rPr>
          <w:rFonts w:hint="eastAsia"/>
          <w:bCs/>
        </w:rPr>
        <w:t>6头；锈壁虱：树冠下部和内堂</w:t>
      </w:r>
      <w:r>
        <w:rPr>
          <w:bCs/>
        </w:rPr>
        <w:t>20%</w:t>
      </w:r>
      <w:r>
        <w:rPr>
          <w:rFonts w:hint="eastAsia"/>
          <w:bCs/>
        </w:rPr>
        <w:t>的叶片或果实有螨。</w:t>
      </w:r>
      <w:r>
        <w:rPr>
          <w:rFonts w:hint="eastAsia"/>
        </w:rPr>
        <w:t>适用药剂：</w:t>
      </w:r>
      <w:r>
        <w:rPr>
          <w:rStyle w:val="152"/>
          <w:rFonts w:hint="eastAsia" w:hAnsi="宋体"/>
          <w:bCs/>
          <w:color w:val="000000"/>
        </w:rPr>
        <w:t>99%绿颖机油乳剂150~200倍液（花期慎用）、24%螺螨酯悬浮剂1500倍~2000倍液、20%哒螨灵可湿性粉剂2000倍液、</w:t>
      </w:r>
      <w:r>
        <w:rPr>
          <w:rFonts w:hint="eastAsia" w:hAnsi="宋体"/>
        </w:rPr>
        <w:t>80%大生M-45可湿性粉剂600倍～800倍液、20%三唑锡悬浮剂1000倍～1500倍液、20%呋虫胺悬浮剂2000倍～2500倍液、50%溴螨酯乳油1000倍～1500倍液等。注意药剂轮换使用。</w:t>
      </w:r>
    </w:p>
    <w:p>
      <w:pPr>
        <w:pStyle w:val="23"/>
        <w:ind w:firstLine="0" w:firstLineChars="0"/>
        <w:rPr>
          <w:bCs/>
        </w:rPr>
      </w:pPr>
      <w:r>
        <w:rPr>
          <w:bCs/>
        </w:rPr>
        <w:t>3.10</w:t>
      </w:r>
      <w:r>
        <w:rPr>
          <w:rFonts w:hint="eastAsia"/>
          <w:bCs/>
        </w:rPr>
        <w:t>.8.</w:t>
      </w:r>
      <w:r>
        <w:rPr>
          <w:bCs/>
        </w:rPr>
        <w:t>8</w:t>
      </w:r>
      <w:r>
        <w:rPr>
          <w:rFonts w:hint="eastAsia"/>
          <w:bCs/>
        </w:rPr>
        <w:t xml:space="preserve">  蓟马 </w:t>
      </w:r>
    </w:p>
    <w:p>
      <w:pPr>
        <w:pStyle w:val="23"/>
        <w:rPr>
          <w:bCs/>
        </w:rPr>
      </w:pPr>
      <w:r>
        <w:rPr>
          <w:rFonts w:hint="eastAsia"/>
          <w:bCs/>
        </w:rPr>
        <w:t>主要在花期及春秋两季危害，挂诱虫蓝板诱杀，及时清除果园及周边有花杂草。喷15%丁硫·吡虫啉或高氯·吡虫啉乳油等药剂防治。</w:t>
      </w:r>
    </w:p>
    <w:p>
      <w:pPr>
        <w:pStyle w:val="23"/>
        <w:ind w:firstLine="0" w:firstLineChars="0"/>
        <w:rPr>
          <w:bCs/>
        </w:rPr>
      </w:pPr>
      <w:r>
        <w:rPr>
          <w:bCs/>
        </w:rPr>
        <w:t>3.10</w:t>
      </w:r>
      <w:r>
        <w:rPr>
          <w:rFonts w:hint="eastAsia"/>
          <w:bCs/>
        </w:rPr>
        <w:t>.8.</w:t>
      </w:r>
      <w:r>
        <w:rPr>
          <w:bCs/>
        </w:rPr>
        <w:t>9</w:t>
      </w:r>
      <w:r>
        <w:rPr>
          <w:rFonts w:hint="eastAsia"/>
          <w:bCs/>
        </w:rPr>
        <w:t xml:space="preserve">  蚧类（矢尖蚧、褐圆蚧、糠片蚧、红蜡蚧等）</w:t>
      </w:r>
    </w:p>
    <w:p>
      <w:pPr>
        <w:pStyle w:val="23"/>
        <w:rPr>
          <w:bCs/>
        </w:rPr>
      </w:pPr>
      <w:r>
        <w:rPr>
          <w:rFonts w:hint="eastAsia"/>
          <w:bCs/>
        </w:rPr>
        <w:t>喷药时机在第一代若虫出现初期，可选</w:t>
      </w:r>
      <w:r>
        <w:rPr>
          <w:rFonts w:hint="eastAsia"/>
        </w:rPr>
        <w:t>用25%噻嗪酮（优乐得）可湿性粉剂1000倍～1500倍液、</w:t>
      </w:r>
      <w:r>
        <w:rPr>
          <w:rStyle w:val="152"/>
          <w:rFonts w:hint="eastAsia" w:ascii="宋体" w:hAnsi="宋体"/>
          <w:color w:val="000000"/>
        </w:rPr>
        <w:t>48%毒死蜱乳油1000倍液、25%噻嗪酮可湿性粉剂1000倍液</w:t>
      </w:r>
      <w:r>
        <w:rPr>
          <w:rFonts w:hint="eastAsia"/>
        </w:rPr>
        <w:t>防治；重发树每隔10d～15d均匀喷药挑治2～3次；成虫期可用松脂合剂冬季8～10倍液、夏秋季18～20倍液喷杀。</w:t>
      </w:r>
      <w:r>
        <w:rPr>
          <w:rFonts w:hint="eastAsia"/>
          <w:bCs/>
        </w:rPr>
        <w:t>平时注意果园、树冠的通风透气，保护瓢虫等天敌。</w:t>
      </w:r>
    </w:p>
    <w:p>
      <w:pPr>
        <w:pStyle w:val="23"/>
        <w:ind w:firstLine="0" w:firstLineChars="0"/>
        <w:rPr>
          <w:bCs/>
        </w:rPr>
      </w:pPr>
      <w:r>
        <w:rPr>
          <w:bCs/>
        </w:rPr>
        <w:t>3.10</w:t>
      </w:r>
      <w:r>
        <w:rPr>
          <w:rFonts w:hint="eastAsia"/>
          <w:bCs/>
        </w:rPr>
        <w:t>.8.</w:t>
      </w:r>
      <w:r>
        <w:rPr>
          <w:bCs/>
        </w:rPr>
        <w:t>10</w:t>
      </w:r>
      <w:r>
        <w:rPr>
          <w:rFonts w:hint="eastAsia"/>
          <w:bCs/>
        </w:rPr>
        <w:t xml:space="preserve">  粉虱（白粉虱、黑刺粉虱等）</w:t>
      </w:r>
    </w:p>
    <w:p>
      <w:pPr>
        <w:pStyle w:val="23"/>
        <w:rPr>
          <w:bCs/>
        </w:rPr>
      </w:pPr>
      <w:r>
        <w:rPr>
          <w:rFonts w:hint="eastAsia"/>
          <w:bCs/>
        </w:rPr>
        <w:t>剪除虫害枝、密生枝，使果园通风透光，加强树势，提高植株抗虫能力；挂诱虫黄板诱杀；药物防治关键时期为第一代和第二代1～2龄若虫盛发期。适用药剂：25%扑虱灵可湿性粉剂1500～2000倍液、25%噻虫嗪水分散剂1500倍液倍液、99%绿颖机油乳剂200倍液、10%吡虫啉可湿性粉剂2000倍液等。</w:t>
      </w:r>
    </w:p>
    <w:p>
      <w:pPr>
        <w:pStyle w:val="56"/>
        <w:numPr>
          <w:ilvl w:val="0"/>
          <w:numId w:val="0"/>
        </w:numPr>
        <w:spacing w:before="156" w:after="156"/>
        <w:ind w:left="992" w:hanging="992"/>
        <w:rPr>
          <w:rFonts w:ascii="宋体" w:hAnsi="宋体" w:eastAsia="宋体"/>
        </w:rPr>
      </w:pPr>
      <w:r>
        <w:rPr>
          <w:rFonts w:hint="eastAsia" w:ascii="宋体" w:hAnsi="宋体" w:eastAsia="宋体"/>
        </w:rPr>
        <w:t>3.</w:t>
      </w:r>
      <w:r>
        <w:rPr>
          <w:rFonts w:ascii="宋体" w:hAnsi="宋体" w:eastAsia="宋体"/>
        </w:rPr>
        <w:t>10</w:t>
      </w:r>
      <w:r>
        <w:rPr>
          <w:rFonts w:hint="eastAsia" w:ascii="宋体" w:hAnsi="宋体" w:eastAsia="宋体"/>
        </w:rPr>
        <w:t>.</w:t>
      </w:r>
      <w:r>
        <w:rPr>
          <w:rFonts w:ascii="宋体" w:hAnsi="宋体" w:eastAsia="宋体"/>
        </w:rPr>
        <w:t>8</w:t>
      </w:r>
      <w:r>
        <w:rPr>
          <w:rFonts w:hint="eastAsia" w:ascii="宋体" w:hAnsi="宋体" w:eastAsia="宋体"/>
        </w:rPr>
        <w:t>.1</w:t>
      </w:r>
      <w:r>
        <w:rPr>
          <w:rFonts w:ascii="宋体" w:hAnsi="宋体" w:eastAsia="宋体"/>
        </w:rPr>
        <w:t>1</w:t>
      </w:r>
      <w:r>
        <w:rPr>
          <w:rFonts w:hint="eastAsia" w:ascii="宋体" w:hAnsi="宋体" w:eastAsia="宋体"/>
        </w:rPr>
        <w:t>天牛类</w:t>
      </w:r>
    </w:p>
    <w:p>
      <w:pPr>
        <w:pStyle w:val="23"/>
        <w:rPr>
          <w:rFonts w:hAnsi="宋体"/>
        </w:rPr>
      </w:pPr>
      <w:r>
        <w:rPr>
          <w:rFonts w:hint="eastAsia" w:hAnsi="宋体"/>
        </w:rPr>
        <w:t>人工捕捉成虫；星天牛和褐天牛可在有新虫粪处，用钢丝钩杀幼虫或清除木屑后用棉球沾</w:t>
      </w:r>
      <w:r>
        <w:rPr>
          <w:rFonts w:hAnsi="宋体"/>
        </w:rPr>
        <w:t>80%</w:t>
      </w:r>
      <w:r>
        <w:rPr>
          <w:rFonts w:hint="eastAsia" w:hAnsi="宋体"/>
        </w:rPr>
        <w:t>敌敌畏或</w:t>
      </w:r>
      <w:r>
        <w:rPr>
          <w:rFonts w:hAnsi="宋体"/>
        </w:rPr>
        <w:t>40%</w:t>
      </w:r>
      <w:r>
        <w:rPr>
          <w:rFonts w:hint="eastAsia" w:hAnsi="宋体"/>
        </w:rPr>
        <w:t>乐果乳油</w:t>
      </w:r>
      <w:r>
        <w:rPr>
          <w:rFonts w:hAnsi="宋体"/>
        </w:rPr>
        <w:t>5</w:t>
      </w:r>
      <w:r>
        <w:rPr>
          <w:rFonts w:hint="eastAsia" w:hAnsi="宋体"/>
        </w:rPr>
        <w:t>～</w:t>
      </w:r>
      <w:r>
        <w:rPr>
          <w:rFonts w:hAnsi="宋体"/>
        </w:rPr>
        <w:t>10</w:t>
      </w:r>
      <w:r>
        <w:rPr>
          <w:rFonts w:hint="eastAsia" w:hAnsi="宋体"/>
        </w:rPr>
        <w:t>倍液塞入虫孔，用黄泥封堵口闷杀；夏至前后，发现树基有星天牛产卵口并出现流胶，要及时刮除；枝梢天牛要在小梢刚出现枯萎时剪除。</w:t>
      </w:r>
    </w:p>
    <w:p>
      <w:pPr>
        <w:pStyle w:val="56"/>
        <w:numPr>
          <w:ilvl w:val="0"/>
          <w:numId w:val="0"/>
        </w:numPr>
        <w:spacing w:before="156" w:after="156"/>
        <w:ind w:left="992" w:hanging="992"/>
        <w:rPr>
          <w:rFonts w:ascii="宋体" w:hAnsi="宋体" w:eastAsia="宋体"/>
        </w:rPr>
      </w:pPr>
      <w:r>
        <w:rPr>
          <w:rFonts w:hint="eastAsia" w:ascii="宋体" w:hAnsi="宋体" w:eastAsia="宋体"/>
        </w:rPr>
        <w:t>3.</w:t>
      </w:r>
      <w:r>
        <w:rPr>
          <w:rFonts w:ascii="宋体" w:hAnsi="宋体" w:eastAsia="宋体"/>
        </w:rPr>
        <w:t>10</w:t>
      </w:r>
      <w:r>
        <w:rPr>
          <w:rFonts w:hint="eastAsia" w:ascii="宋体" w:hAnsi="宋体" w:eastAsia="宋体"/>
        </w:rPr>
        <w:t>.</w:t>
      </w:r>
      <w:r>
        <w:rPr>
          <w:rFonts w:ascii="宋体" w:hAnsi="宋体" w:eastAsia="宋体"/>
        </w:rPr>
        <w:t>8</w:t>
      </w:r>
      <w:r>
        <w:rPr>
          <w:rFonts w:hint="eastAsia" w:ascii="宋体" w:hAnsi="宋体" w:eastAsia="宋体"/>
        </w:rPr>
        <w:t>.1</w:t>
      </w:r>
      <w:r>
        <w:rPr>
          <w:rFonts w:ascii="宋体" w:hAnsi="宋体" w:eastAsia="宋体"/>
        </w:rPr>
        <w:t>2桔小实蝇</w:t>
      </w:r>
    </w:p>
    <w:p>
      <w:pPr>
        <w:pStyle w:val="23"/>
        <w:rPr>
          <w:rFonts w:hAnsi="宋体"/>
        </w:rPr>
      </w:pPr>
      <w:r>
        <w:rPr>
          <w:rFonts w:hint="eastAsia" w:hAnsi="宋体"/>
        </w:rPr>
        <w:t>使用桔小实蝇雄虫引诱剂诱杀成虫，每亩放置5个诱捕器，均匀分布于果园中，一般挂于树冠中部略靠外的树枝上，气温高时每25天左右更换一次性诱剂，气温低时30天左右更换一次，每5天清理一次诱捕器中的实蝇。果实成熟前1个月用含多杀霉素、噻虫嗪等成分的毒饵诱杀，如田间成虫密度大，可先用1.8%阿维菌素乳油或40%毒死蜱乳油1000倍液喷洒果园。</w:t>
      </w:r>
    </w:p>
    <w:p>
      <w:pPr>
        <w:pStyle w:val="23"/>
        <w:rPr>
          <w:highlight w:val="yellow"/>
        </w:rPr>
      </w:pPr>
    </w:p>
    <w:p>
      <w:pPr>
        <w:pStyle w:val="23"/>
        <w:ind w:firstLine="0" w:firstLineChars="0"/>
        <w:rPr>
          <w:b/>
          <w:bCs/>
        </w:rPr>
      </w:pPr>
      <w:r>
        <w:rPr>
          <w:b/>
          <w:bCs/>
        </w:rPr>
        <w:t>3.</w:t>
      </w:r>
      <w:r>
        <w:rPr>
          <w:rFonts w:hint="eastAsia"/>
          <w:b/>
          <w:bCs/>
        </w:rPr>
        <w:t>1</w:t>
      </w:r>
      <w:r>
        <w:rPr>
          <w:b/>
          <w:bCs/>
        </w:rPr>
        <w:t>1</w:t>
      </w:r>
      <w:r>
        <w:rPr>
          <w:rFonts w:hint="eastAsia"/>
          <w:b/>
          <w:bCs/>
        </w:rPr>
        <w:t xml:space="preserve">  果实采收</w:t>
      </w:r>
    </w:p>
    <w:p>
      <w:pPr>
        <w:pStyle w:val="23"/>
        <w:ind w:firstLine="0" w:firstLineChars="0"/>
        <w:rPr>
          <w:bCs/>
        </w:rPr>
      </w:pPr>
      <w:r>
        <w:rPr>
          <w:b/>
          <w:bCs/>
        </w:rPr>
        <w:t>3.</w:t>
      </w:r>
      <w:r>
        <w:rPr>
          <w:rFonts w:hint="eastAsia"/>
          <w:b/>
          <w:bCs/>
        </w:rPr>
        <w:t>1</w:t>
      </w:r>
      <w:r>
        <w:rPr>
          <w:b/>
          <w:bCs/>
        </w:rPr>
        <w:t>1</w:t>
      </w:r>
      <w:r>
        <w:rPr>
          <w:rFonts w:hint="eastAsia"/>
          <w:b/>
          <w:bCs/>
        </w:rPr>
        <w:t>.1 采收时期</w:t>
      </w:r>
    </w:p>
    <w:p>
      <w:pPr>
        <w:pStyle w:val="23"/>
        <w:rPr>
          <w:bCs/>
        </w:rPr>
      </w:pPr>
      <w:r>
        <w:rPr>
          <w:rFonts w:hint="eastAsia"/>
          <w:bCs/>
        </w:rPr>
        <w:t>根据不同品种果实成熟度、市场需求等确定采收期。在果实正常成熟、达到该品种固有的品质特征(色泽、香气、风味和固酸比等)时采收。</w:t>
      </w:r>
      <w:r>
        <w:rPr>
          <w:rFonts w:hint="eastAsia"/>
        </w:rPr>
        <w:t>选择晴天或阴天采收，雨天、雨后或晨露未干时不宜采收</w:t>
      </w:r>
      <w:r>
        <w:rPr>
          <w:rFonts w:hint="eastAsia"/>
          <w:bCs/>
        </w:rPr>
        <w:t>。</w:t>
      </w:r>
    </w:p>
    <w:p>
      <w:pPr>
        <w:pStyle w:val="23"/>
        <w:ind w:firstLine="0" w:firstLineChars="0"/>
        <w:rPr>
          <w:b/>
          <w:bCs/>
        </w:rPr>
      </w:pPr>
    </w:p>
    <w:p>
      <w:pPr>
        <w:pStyle w:val="23"/>
        <w:ind w:firstLine="0" w:firstLineChars="0"/>
        <w:rPr>
          <w:b/>
          <w:bCs/>
        </w:rPr>
      </w:pPr>
      <w:r>
        <w:rPr>
          <w:b/>
          <w:bCs/>
        </w:rPr>
        <w:t>3.</w:t>
      </w:r>
      <w:r>
        <w:rPr>
          <w:rFonts w:hint="eastAsia"/>
          <w:b/>
          <w:bCs/>
        </w:rPr>
        <w:t>1</w:t>
      </w:r>
      <w:r>
        <w:rPr>
          <w:b/>
          <w:bCs/>
        </w:rPr>
        <w:t>1</w:t>
      </w:r>
      <w:r>
        <w:rPr>
          <w:rFonts w:hint="eastAsia"/>
          <w:b/>
          <w:bCs/>
        </w:rPr>
        <w:t>.2  采收方法</w:t>
      </w:r>
    </w:p>
    <w:p>
      <w:pPr>
        <w:pStyle w:val="23"/>
        <w:rPr>
          <w:bCs/>
        </w:rPr>
      </w:pPr>
      <w:r>
        <w:rPr>
          <w:rFonts w:hint="eastAsia"/>
          <w:bCs/>
        </w:rPr>
        <w:t>采果者应带手套，采取一果两剪方法，用圆头果剪连同果柄一起剪下，再剪平果蒂，轻拿轻放；要求盛果的容器内壁平滑，采下的果实应及时运往包装场所或贮藏库，避免日晒雨淋。</w:t>
      </w:r>
    </w:p>
    <w:p/>
    <w:p>
      <w:pPr>
        <w:rPr>
          <w:rFonts w:hint="default" w:eastAsiaTheme="minorEastAsia"/>
          <w:lang w:val="en-US" w:eastAsia="zh-CN"/>
        </w:rPr>
      </w:pPr>
      <w:r>
        <w:rPr>
          <w:rFonts w:hint="eastAsia"/>
          <w:lang w:val="en-US" w:eastAsia="zh-CN"/>
        </w:rPr>
        <w:t xml:space="preserve">                 </w:t>
      </w:r>
      <w:r>
        <w:rPr>
          <w:rFonts w:ascii="宋体" w:hAnsi="宋体"/>
          <w:u w:val="thick"/>
        </w:rPr>
        <w:t>__________________</w:t>
      </w:r>
      <w:r>
        <w:rPr>
          <w:rFonts w:hint="eastAsia" w:ascii="宋体" w:hAnsi="宋体"/>
          <w:u w:val="thick"/>
          <w:lang w:val="en-US" w:eastAsia="zh-CN"/>
        </w:rPr>
        <w:t xml:space="preserve">      </w:t>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r>
      <w:fldChar w:fldCharType="begin"/>
    </w:r>
    <w:r>
      <w:instrText xml:space="preserve"> PAGE  \* MERGEFORMAT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pPr>
    <w:r>
      <w:t>DB45/</w:t>
    </w:r>
    <w:r>
      <w:rPr>
        <w:rFonts w:hint="eastAsia"/>
      </w:rPr>
      <w:t>T</w:t>
    </w:r>
    <w:r>
      <w:t xml:space="preserve"> XXXXX—</w:t>
    </w:r>
    <w:r>
      <w:rPr>
        <w:rFonts w:hint="eastAsia"/>
      </w:rPr>
      <w:t>20</w:t>
    </w:r>
    <w: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6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7"/>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27"/>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7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1"/>
      <w:suff w:val="nothing"/>
      <w:lvlText w:val="%1.%2.%3　"/>
      <w:lvlJc w:val="left"/>
      <w:pPr>
        <w:ind w:left="945" w:firstLine="0"/>
      </w:pPr>
      <w:rPr>
        <w:rFonts w:hint="eastAsia" w:ascii="黑体" w:hAnsi="Times New Roman" w:eastAsia="黑体"/>
        <w:b w:val="0"/>
        <w:i w:val="0"/>
        <w:sz w:val="21"/>
      </w:rPr>
    </w:lvl>
    <w:lvl w:ilvl="3" w:tentative="0">
      <w:start w:val="1"/>
      <w:numFmt w:val="decimal"/>
      <w:pStyle w:val="56"/>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6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03"/>
      <w:suff w:val="space"/>
      <w:lvlText w:val="%1"/>
      <w:lvlJc w:val="left"/>
      <w:pPr>
        <w:ind w:left="623" w:hanging="425"/>
      </w:pPr>
      <w:rPr>
        <w:rFonts w:hint="eastAsia"/>
      </w:rPr>
    </w:lvl>
    <w:lvl w:ilvl="1" w:tentative="0">
      <w:start w:val="1"/>
      <w:numFmt w:val="decimal"/>
      <w:pStyle w:val="10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3"/>
      <w:suff w:val="nothing"/>
      <w:lvlText w:val="%1——"/>
      <w:lvlJc w:val="left"/>
      <w:pPr>
        <w:ind w:left="933" w:hanging="408"/>
      </w:pPr>
      <w:rPr>
        <w:rFonts w:hint="eastAsia"/>
        <w:lang w:val="en-US"/>
      </w:rPr>
    </w:lvl>
    <w:lvl w:ilvl="1" w:tentative="0">
      <w:start w:val="1"/>
      <w:numFmt w:val="bullet"/>
      <w:pStyle w:val="54"/>
      <w:lvlText w:val=""/>
      <w:lvlJc w:val="left"/>
      <w:pPr>
        <w:tabs>
          <w:tab w:val="left" w:pos="760"/>
        </w:tabs>
        <w:ind w:left="1264" w:hanging="413"/>
      </w:pPr>
      <w:rPr>
        <w:rFonts w:hint="default" w:ascii="Symbol" w:hAnsi="Symbol"/>
        <w:color w:val="auto"/>
      </w:rPr>
    </w:lvl>
    <w:lvl w:ilvl="2" w:tentative="0">
      <w:start w:val="1"/>
      <w:numFmt w:val="bullet"/>
      <w:pStyle w:val="6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6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9"/>
      <w:lvlText w:val="%2)"/>
      <w:lvlJc w:val="left"/>
      <w:pPr>
        <w:tabs>
          <w:tab w:val="left" w:pos="1260"/>
        </w:tabs>
        <w:ind w:left="1259" w:hanging="419"/>
      </w:pPr>
      <w:rPr>
        <w:rFonts w:hint="eastAsia"/>
      </w:rPr>
    </w:lvl>
    <w:lvl w:ilvl="2" w:tentative="0">
      <w:start w:val="1"/>
      <w:numFmt w:val="decimal"/>
      <w:pStyle w:val="66"/>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A291A11"/>
    <w:multiLevelType w:val="multilevel"/>
    <w:tmpl w:val="5A291A11"/>
    <w:lvl w:ilvl="0" w:tentative="0">
      <w:start w:val="2"/>
      <w:numFmt w:val="japaneseCounting"/>
      <w:lvlText w:val="第%1章"/>
      <w:lvlJc w:val="left"/>
      <w:pPr>
        <w:tabs>
          <w:tab w:val="left" w:pos="1050"/>
        </w:tabs>
        <w:ind w:left="1050" w:hanging="1050"/>
      </w:pPr>
      <w:rPr>
        <w:rFonts w:hint="default"/>
      </w:rPr>
    </w:lvl>
    <w:lvl w:ilvl="1" w:tentative="0">
      <w:start w:val="2"/>
      <w:numFmt w:val="decimal"/>
      <w:lvlText w:val="%2、"/>
      <w:lvlJc w:val="left"/>
      <w:pPr>
        <w:tabs>
          <w:tab w:val="left" w:pos="780"/>
        </w:tabs>
        <w:ind w:left="780" w:hanging="360"/>
      </w:pPr>
      <w:rPr>
        <w:rFonts w:hint="default"/>
      </w:rPr>
    </w:lvl>
    <w:lvl w:ilvl="2" w:tentative="0">
      <w:start w:val="1"/>
      <w:numFmt w:val="lowerRoman"/>
      <w:pStyle w:val="15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60B55DC2"/>
    <w:multiLevelType w:val="multilevel"/>
    <w:tmpl w:val="60B55DC2"/>
    <w:lvl w:ilvl="0" w:tentative="0">
      <w:start w:val="1"/>
      <w:numFmt w:val="upperLetter"/>
      <w:pStyle w:val="91"/>
      <w:lvlText w:val="%1"/>
      <w:lvlJc w:val="left"/>
      <w:pPr>
        <w:tabs>
          <w:tab w:val="left" w:pos="0"/>
        </w:tabs>
        <w:ind w:left="0" w:hanging="425"/>
      </w:pPr>
      <w:rPr>
        <w:rFonts w:hint="eastAsia"/>
      </w:rPr>
    </w:lvl>
    <w:lvl w:ilvl="1" w:tentative="0">
      <w:start w:val="1"/>
      <w:numFmt w:val="decimal"/>
      <w:pStyle w:val="9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8"/>
      <w:suff w:val="nothing"/>
      <w:lvlText w:val="%1.%2.%3　"/>
      <w:lvlJc w:val="left"/>
      <w:pPr>
        <w:ind w:left="0" w:firstLine="0"/>
      </w:pPr>
      <w:rPr>
        <w:rFonts w:hint="eastAsia" w:ascii="黑体" w:hAnsi="Times New Roman" w:eastAsia="黑体"/>
        <w:b w:val="0"/>
        <w:i w:val="0"/>
        <w:sz w:val="21"/>
      </w:rPr>
    </w:lvl>
    <w:lvl w:ilvl="3" w:tentative="0">
      <w:start w:val="1"/>
      <w:numFmt w:val="decimal"/>
      <w:pStyle w:val="93"/>
      <w:suff w:val="nothing"/>
      <w:lvlText w:val="%1.%2.%3.%4　"/>
      <w:lvlJc w:val="left"/>
      <w:pPr>
        <w:ind w:left="105" w:firstLine="0"/>
      </w:pPr>
      <w:rPr>
        <w:rFonts w:hint="eastAsia" w:ascii="黑体" w:hAnsi="Times New Roman" w:eastAsia="黑体"/>
        <w:b w:val="0"/>
        <w:i w:val="0"/>
        <w:sz w:val="21"/>
      </w:rPr>
    </w:lvl>
    <w:lvl w:ilvl="4" w:tentative="0">
      <w:start w:val="1"/>
      <w:numFmt w:val="decimal"/>
      <w:pStyle w:val="98"/>
      <w:suff w:val="nothing"/>
      <w:lvlText w:val="%1.%2.%3.%4.%5　"/>
      <w:lvlJc w:val="left"/>
      <w:pPr>
        <w:ind w:left="0" w:firstLine="0"/>
      </w:pPr>
      <w:rPr>
        <w:rFonts w:hint="eastAsia" w:ascii="黑体" w:hAnsi="Times New Roman" w:eastAsia="黑体"/>
        <w:b w:val="0"/>
        <w:i w:val="0"/>
        <w:sz w:val="21"/>
      </w:rPr>
    </w:lvl>
    <w:lvl w:ilvl="5" w:tentative="0">
      <w:start w:val="1"/>
      <w:numFmt w:val="decimal"/>
      <w:pStyle w:val="101"/>
      <w:suff w:val="nothing"/>
      <w:lvlText w:val="%1.%2.%3.%4.%5.%6　"/>
      <w:lvlJc w:val="left"/>
      <w:pPr>
        <w:ind w:left="0" w:firstLine="0"/>
      </w:pPr>
      <w:rPr>
        <w:rFonts w:hint="eastAsia" w:ascii="黑体" w:hAnsi="Times New Roman" w:eastAsia="黑体"/>
        <w:b w:val="0"/>
        <w:i w:val="0"/>
        <w:sz w:val="21"/>
      </w:rPr>
    </w:lvl>
    <w:lvl w:ilvl="6" w:tentative="0">
      <w:start w:val="1"/>
      <w:numFmt w:val="decimal"/>
      <w:pStyle w:val="10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0"/>
      <w:lvlText w:val="%1)"/>
      <w:lvlJc w:val="left"/>
      <w:pPr>
        <w:tabs>
          <w:tab w:val="left" w:pos="839"/>
        </w:tabs>
        <w:ind w:left="839" w:hanging="419"/>
      </w:pPr>
      <w:rPr>
        <w:rFonts w:hint="eastAsia" w:ascii="宋体" w:eastAsia="宋体"/>
        <w:b w:val="0"/>
        <w:i w:val="0"/>
        <w:sz w:val="21"/>
      </w:rPr>
    </w:lvl>
    <w:lvl w:ilvl="1" w:tentative="0">
      <w:start w:val="1"/>
      <w:numFmt w:val="decimal"/>
      <w:pStyle w:val="10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14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0"/>
  </w:num>
  <w:num w:numId="7">
    <w:abstractNumId w:val="10"/>
  </w:num>
  <w:num w:numId="8">
    <w:abstractNumId w:val="4"/>
  </w:num>
  <w:num w:numId="9">
    <w:abstractNumId w:val="15"/>
  </w:num>
  <w:num w:numId="10">
    <w:abstractNumId w:val="13"/>
  </w:num>
  <w:num w:numId="11">
    <w:abstractNumId w:val="16"/>
  </w:num>
  <w:num w:numId="12">
    <w:abstractNumId w:val="6"/>
  </w:num>
  <w:num w:numId="13">
    <w:abstractNumId w:val="1"/>
  </w:num>
  <w:num w:numId="14">
    <w:abstractNumId w:val="3"/>
  </w:num>
  <w:num w:numId="15">
    <w:abstractNumId w:val="14"/>
  </w:num>
  <w:num w:numId="16">
    <w:abstractNumId w:val="11"/>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AAC"/>
    <w:rsid w:val="000074EE"/>
    <w:rsid w:val="00020A35"/>
    <w:rsid w:val="000238EC"/>
    <w:rsid w:val="00096EF9"/>
    <w:rsid w:val="000D6D5F"/>
    <w:rsid w:val="000F2A6D"/>
    <w:rsid w:val="0025585C"/>
    <w:rsid w:val="00263580"/>
    <w:rsid w:val="002D1F85"/>
    <w:rsid w:val="003123EE"/>
    <w:rsid w:val="003674EC"/>
    <w:rsid w:val="00375F76"/>
    <w:rsid w:val="003C5F25"/>
    <w:rsid w:val="003E31B4"/>
    <w:rsid w:val="00406E76"/>
    <w:rsid w:val="004568C4"/>
    <w:rsid w:val="0054071A"/>
    <w:rsid w:val="00553CA8"/>
    <w:rsid w:val="005760DF"/>
    <w:rsid w:val="0061212D"/>
    <w:rsid w:val="00663480"/>
    <w:rsid w:val="006D0961"/>
    <w:rsid w:val="00761BB7"/>
    <w:rsid w:val="007C4B98"/>
    <w:rsid w:val="007C4EE5"/>
    <w:rsid w:val="008B55BA"/>
    <w:rsid w:val="008C7AAC"/>
    <w:rsid w:val="008E1DDD"/>
    <w:rsid w:val="009556A3"/>
    <w:rsid w:val="009D6AAE"/>
    <w:rsid w:val="00B27C05"/>
    <w:rsid w:val="00BA5137"/>
    <w:rsid w:val="00BC562B"/>
    <w:rsid w:val="00CB20FC"/>
    <w:rsid w:val="00D57CE2"/>
    <w:rsid w:val="00DC624A"/>
    <w:rsid w:val="00DE368D"/>
    <w:rsid w:val="00E47C37"/>
    <w:rsid w:val="00E50EBF"/>
    <w:rsid w:val="00E57F52"/>
    <w:rsid w:val="00ED1141"/>
    <w:rsid w:val="00F157A0"/>
    <w:rsid w:val="00F26F48"/>
    <w:rsid w:val="00F35170"/>
    <w:rsid w:val="17CD7A98"/>
    <w:rsid w:val="4E071FBD"/>
    <w:rsid w:val="54A86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5">
    <w:name w:val="Default Paragraph Font"/>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toc 7"/>
    <w:basedOn w:val="1"/>
    <w:next w:val="1"/>
    <w:semiHidden/>
    <w:uiPriority w:val="0"/>
    <w:pPr>
      <w:tabs>
        <w:tab w:val="right" w:leader="dot" w:pos="9241"/>
      </w:tabs>
      <w:ind w:firstLine="505" w:firstLineChars="500"/>
      <w:jc w:val="left"/>
    </w:pPr>
    <w:rPr>
      <w:rFonts w:ascii="宋体" w:hAnsi="Times New Roman" w:eastAsia="宋体" w:cs="Times New Roman"/>
      <w:szCs w:val="21"/>
    </w:rPr>
  </w:style>
  <w:style w:type="paragraph" w:styleId="3">
    <w:name w:val="index 8"/>
    <w:basedOn w:val="1"/>
    <w:next w:val="1"/>
    <w:uiPriority w:val="0"/>
    <w:pPr>
      <w:ind w:left="1680" w:hanging="210"/>
      <w:jc w:val="left"/>
    </w:pPr>
    <w:rPr>
      <w:rFonts w:ascii="Calibri" w:hAnsi="Calibri" w:eastAsia="宋体" w:cs="Times New Roman"/>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eastAsia="宋体" w:cs="Times New Roman"/>
      <w:sz w:val="20"/>
      <w:szCs w:val="20"/>
    </w:rPr>
  </w:style>
  <w:style w:type="paragraph" w:styleId="6">
    <w:name w:val="Document Map"/>
    <w:basedOn w:val="1"/>
    <w:link w:val="130"/>
    <w:semiHidden/>
    <w:qFormat/>
    <w:uiPriority w:val="0"/>
    <w:pPr>
      <w:shd w:val="clear" w:color="auto" w:fill="000080"/>
    </w:pPr>
    <w:rPr>
      <w:rFonts w:ascii="Times New Roman" w:hAnsi="Times New Roman" w:eastAsia="宋体" w:cs="Times New Roman"/>
      <w:szCs w:val="24"/>
    </w:rPr>
  </w:style>
  <w:style w:type="paragraph" w:styleId="7">
    <w:name w:val="annotation text"/>
    <w:basedOn w:val="1"/>
    <w:link w:val="157"/>
    <w:qFormat/>
    <w:uiPriority w:val="0"/>
    <w:pPr>
      <w:jc w:val="left"/>
    </w:pPr>
    <w:rPr>
      <w:rFonts w:ascii="Times New Roman" w:hAnsi="Times New Roman" w:eastAsia="宋体" w:cs="Times New Roman"/>
      <w:szCs w:val="24"/>
    </w:rPr>
  </w:style>
  <w:style w:type="paragraph" w:styleId="8">
    <w:name w:val="index 6"/>
    <w:basedOn w:val="1"/>
    <w:next w:val="1"/>
    <w:qFormat/>
    <w:uiPriority w:val="0"/>
    <w:pPr>
      <w:ind w:left="1260" w:hanging="210"/>
      <w:jc w:val="left"/>
    </w:pPr>
    <w:rPr>
      <w:rFonts w:ascii="Calibri" w:hAnsi="Calibri" w:eastAsia="宋体" w:cs="Times New Roman"/>
      <w:sz w:val="20"/>
      <w:szCs w:val="20"/>
    </w:rPr>
  </w:style>
  <w:style w:type="paragraph" w:styleId="9">
    <w:name w:val="index 4"/>
    <w:basedOn w:val="1"/>
    <w:next w:val="1"/>
    <w:qFormat/>
    <w:uiPriority w:val="0"/>
    <w:pPr>
      <w:ind w:left="840" w:hanging="210"/>
      <w:jc w:val="left"/>
    </w:pPr>
    <w:rPr>
      <w:rFonts w:ascii="Calibri" w:hAnsi="Calibri" w:eastAsia="宋体" w:cs="Times New Roman"/>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hAnsi="Times New Roman" w:eastAsia="宋体" w:cs="Times New Roman"/>
      <w:szCs w:val="21"/>
    </w:rPr>
  </w:style>
  <w:style w:type="paragraph" w:styleId="11">
    <w:name w:val="toc 3"/>
    <w:basedOn w:val="1"/>
    <w:next w:val="1"/>
    <w:semiHidden/>
    <w:qFormat/>
    <w:uiPriority w:val="0"/>
    <w:pPr>
      <w:tabs>
        <w:tab w:val="right" w:leader="dot" w:pos="9241"/>
      </w:tabs>
      <w:ind w:firstLine="102" w:firstLineChars="100"/>
      <w:jc w:val="left"/>
    </w:pPr>
    <w:rPr>
      <w:rFonts w:ascii="宋体" w:hAnsi="Times New Roman" w:eastAsia="宋体" w:cs="Times New Roman"/>
      <w:szCs w:val="21"/>
    </w:rPr>
  </w:style>
  <w:style w:type="paragraph" w:styleId="12">
    <w:name w:val="Plain Text"/>
    <w:basedOn w:val="1"/>
    <w:link w:val="155"/>
    <w:qFormat/>
    <w:uiPriority w:val="0"/>
    <w:rPr>
      <w:rFonts w:ascii="宋体" w:hAnsi="Courier New" w:eastAsia="宋体" w:cs="Times New Roman"/>
      <w:szCs w:val="21"/>
      <w:lang w:val="zh-CN" w:eastAsia="zh-CN"/>
    </w:rPr>
  </w:style>
  <w:style w:type="paragraph" w:styleId="13">
    <w:name w:val="toc 8"/>
    <w:basedOn w:val="1"/>
    <w:next w:val="1"/>
    <w:semiHidden/>
    <w:qFormat/>
    <w:uiPriority w:val="0"/>
    <w:pPr>
      <w:tabs>
        <w:tab w:val="right" w:leader="dot" w:pos="9241"/>
      </w:tabs>
      <w:ind w:firstLine="607" w:firstLineChars="600"/>
      <w:jc w:val="left"/>
    </w:pPr>
    <w:rPr>
      <w:rFonts w:ascii="宋体" w:hAnsi="Times New Roman" w:eastAsia="宋体" w:cs="Times New Roman"/>
      <w:szCs w:val="21"/>
    </w:rPr>
  </w:style>
  <w:style w:type="paragraph" w:styleId="14">
    <w:name w:val="index 3"/>
    <w:basedOn w:val="1"/>
    <w:next w:val="1"/>
    <w:qFormat/>
    <w:uiPriority w:val="0"/>
    <w:pPr>
      <w:ind w:left="630" w:hanging="210"/>
      <w:jc w:val="left"/>
    </w:pPr>
    <w:rPr>
      <w:rFonts w:ascii="Calibri" w:hAnsi="Calibri" w:eastAsia="宋体" w:cs="Times New Roman"/>
      <w:sz w:val="20"/>
      <w:szCs w:val="20"/>
    </w:rPr>
  </w:style>
  <w:style w:type="paragraph" w:styleId="15">
    <w:name w:val="endnote text"/>
    <w:basedOn w:val="1"/>
    <w:link w:val="129"/>
    <w:semiHidden/>
    <w:qFormat/>
    <w:uiPriority w:val="0"/>
    <w:pPr>
      <w:snapToGrid w:val="0"/>
      <w:jc w:val="left"/>
    </w:pPr>
    <w:rPr>
      <w:rFonts w:ascii="Times New Roman" w:hAnsi="Times New Roman" w:eastAsia="宋体" w:cs="Times New Roman"/>
      <w:szCs w:val="24"/>
    </w:rPr>
  </w:style>
  <w:style w:type="paragraph" w:styleId="16">
    <w:name w:val="Balloon Text"/>
    <w:basedOn w:val="1"/>
    <w:link w:val="156"/>
    <w:qFormat/>
    <w:uiPriority w:val="0"/>
    <w:rPr>
      <w:rFonts w:ascii="Times New Roman" w:hAnsi="Times New Roman" w:eastAsia="宋体" w:cs="Times New Roman"/>
      <w:sz w:val="18"/>
      <w:szCs w:val="18"/>
    </w:rPr>
  </w:style>
  <w:style w:type="paragraph" w:styleId="17">
    <w:name w:val="footer"/>
    <w:basedOn w:val="1"/>
    <w:link w:val="45"/>
    <w:unhideWhenUsed/>
    <w:qFormat/>
    <w:uiPriority w:val="0"/>
    <w:pPr>
      <w:tabs>
        <w:tab w:val="center" w:pos="4153"/>
        <w:tab w:val="right" w:pos="8306"/>
      </w:tabs>
      <w:snapToGrid w:val="0"/>
      <w:jc w:val="left"/>
    </w:pPr>
    <w:rPr>
      <w:sz w:val="18"/>
      <w:szCs w:val="18"/>
    </w:rPr>
  </w:style>
  <w:style w:type="paragraph" w:styleId="18">
    <w:name w:val="header"/>
    <w:basedOn w:val="1"/>
    <w:link w:val="44"/>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semiHidden/>
    <w:qFormat/>
    <w:uiPriority w:val="0"/>
    <w:pPr>
      <w:tabs>
        <w:tab w:val="right" w:leader="dot" w:pos="9241"/>
      </w:tabs>
      <w:spacing w:before="25" w:beforeLines="25" w:after="25" w:afterLines="25"/>
      <w:jc w:val="left"/>
    </w:pPr>
    <w:rPr>
      <w:rFonts w:ascii="宋体" w:hAnsi="Times New Roman" w:eastAsia="宋体" w:cs="Times New Roman"/>
      <w:szCs w:val="21"/>
    </w:rPr>
  </w:style>
  <w:style w:type="paragraph" w:styleId="20">
    <w:name w:val="toc 4"/>
    <w:basedOn w:val="1"/>
    <w:next w:val="1"/>
    <w:semiHidden/>
    <w:qFormat/>
    <w:uiPriority w:val="0"/>
    <w:pPr>
      <w:tabs>
        <w:tab w:val="right" w:leader="dot" w:pos="9241"/>
      </w:tabs>
      <w:ind w:firstLine="198" w:firstLineChars="200"/>
      <w:jc w:val="left"/>
    </w:pPr>
    <w:rPr>
      <w:rFonts w:ascii="宋体" w:hAnsi="Times New Roman" w:eastAsia="宋体" w:cs="Times New Roman"/>
      <w:szCs w:val="21"/>
    </w:rPr>
  </w:style>
  <w:style w:type="paragraph" w:styleId="21">
    <w:name w:val="index heading"/>
    <w:basedOn w:val="1"/>
    <w:next w:val="22"/>
    <w:qFormat/>
    <w:uiPriority w:val="0"/>
    <w:pPr>
      <w:spacing w:before="120" w:after="120"/>
      <w:jc w:val="center"/>
    </w:pPr>
    <w:rPr>
      <w:rFonts w:ascii="Calibri" w:hAnsi="Calibri" w:eastAsia="宋体" w:cs="Times New Roman"/>
      <w:b/>
      <w:bCs/>
      <w:iCs/>
      <w:szCs w:val="20"/>
    </w:rPr>
  </w:style>
  <w:style w:type="paragraph" w:styleId="22">
    <w:name w:val="index 1"/>
    <w:basedOn w:val="1"/>
    <w:next w:val="23"/>
    <w:qFormat/>
    <w:uiPriority w:val="0"/>
    <w:pPr>
      <w:tabs>
        <w:tab w:val="right" w:leader="dot" w:pos="9299"/>
      </w:tabs>
      <w:jc w:val="left"/>
    </w:pPr>
    <w:rPr>
      <w:rFonts w:ascii="宋体" w:hAnsi="Times New Roman" w:eastAsia="宋体" w:cs="Times New Roman"/>
      <w:szCs w:val="21"/>
    </w:rPr>
  </w:style>
  <w:style w:type="paragraph" w:customStyle="1" w:styleId="23">
    <w:name w:val="段"/>
    <w:link w:val="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4">
    <w:name w:val="footnote text"/>
    <w:basedOn w:val="1"/>
    <w:link w:val="111"/>
    <w:qFormat/>
    <w:uiPriority w:val="0"/>
    <w:pPr>
      <w:numPr>
        <w:ilvl w:val="0"/>
        <w:numId w:val="1"/>
      </w:numPr>
      <w:snapToGrid w:val="0"/>
      <w:jc w:val="left"/>
    </w:pPr>
    <w:rPr>
      <w:rFonts w:ascii="宋体" w:hAnsi="Times New Roman" w:eastAsia="宋体" w:cs="Times New Roman"/>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hAnsi="Times New Roman" w:eastAsia="宋体" w:cs="Times New Roman"/>
      <w:szCs w:val="21"/>
    </w:rPr>
  </w:style>
  <w:style w:type="paragraph" w:styleId="26">
    <w:name w:val="index 7"/>
    <w:basedOn w:val="1"/>
    <w:next w:val="1"/>
    <w:qFormat/>
    <w:uiPriority w:val="0"/>
    <w:pPr>
      <w:ind w:left="1470" w:hanging="210"/>
      <w:jc w:val="left"/>
    </w:pPr>
    <w:rPr>
      <w:rFonts w:ascii="Calibri" w:hAnsi="Calibri" w:eastAsia="宋体" w:cs="Times New Roman"/>
      <w:sz w:val="20"/>
      <w:szCs w:val="20"/>
    </w:rPr>
  </w:style>
  <w:style w:type="paragraph" w:styleId="27">
    <w:name w:val="index 9"/>
    <w:basedOn w:val="1"/>
    <w:next w:val="1"/>
    <w:qFormat/>
    <w:uiPriority w:val="0"/>
    <w:pPr>
      <w:ind w:left="1890" w:hanging="210"/>
      <w:jc w:val="left"/>
    </w:pPr>
    <w:rPr>
      <w:rFonts w:ascii="Calibri" w:hAnsi="Calibri" w:eastAsia="宋体" w:cs="Times New Roman"/>
      <w:sz w:val="20"/>
      <w:szCs w:val="20"/>
    </w:rPr>
  </w:style>
  <w:style w:type="paragraph" w:styleId="28">
    <w:name w:val="toc 2"/>
    <w:basedOn w:val="1"/>
    <w:next w:val="1"/>
    <w:semiHidden/>
    <w:qFormat/>
    <w:uiPriority w:val="0"/>
    <w:pPr>
      <w:tabs>
        <w:tab w:val="right" w:leader="dot" w:pos="9241"/>
      </w:tabs>
    </w:pPr>
    <w:rPr>
      <w:rFonts w:ascii="宋体" w:hAnsi="Times New Roman" w:eastAsia="宋体" w:cs="Times New Roman"/>
      <w:szCs w:val="21"/>
    </w:rPr>
  </w:style>
  <w:style w:type="paragraph" w:styleId="29">
    <w:name w:val="toc 9"/>
    <w:basedOn w:val="1"/>
    <w:next w:val="1"/>
    <w:semiHidden/>
    <w:qFormat/>
    <w:uiPriority w:val="0"/>
    <w:pPr>
      <w:ind w:left="1470"/>
      <w:jc w:val="left"/>
    </w:pPr>
    <w:rPr>
      <w:rFonts w:ascii="Times New Roman" w:hAnsi="Times New Roman" w:eastAsia="宋体" w:cs="Times New Roman"/>
      <w:sz w:val="20"/>
      <w:szCs w:val="20"/>
    </w:rPr>
  </w:style>
  <w:style w:type="paragraph" w:styleId="30">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31">
    <w:name w:val="index 2"/>
    <w:basedOn w:val="1"/>
    <w:next w:val="1"/>
    <w:qFormat/>
    <w:uiPriority w:val="0"/>
    <w:pPr>
      <w:ind w:left="420" w:hanging="210"/>
      <w:jc w:val="left"/>
    </w:pPr>
    <w:rPr>
      <w:rFonts w:ascii="Calibri" w:hAnsi="Calibri" w:eastAsia="宋体" w:cs="Times New Roman"/>
      <w:sz w:val="20"/>
      <w:szCs w:val="20"/>
    </w:rPr>
  </w:style>
  <w:style w:type="paragraph" w:styleId="32">
    <w:name w:val="annotation subject"/>
    <w:basedOn w:val="7"/>
    <w:next w:val="7"/>
    <w:link w:val="158"/>
    <w:qFormat/>
    <w:uiPriority w:val="0"/>
    <w:rPr>
      <w:b/>
      <w:bCs/>
    </w:rPr>
  </w:style>
  <w:style w:type="table" w:styleId="34">
    <w:name w:val="Table Grid"/>
    <w:basedOn w:val="33"/>
    <w:qFormat/>
    <w:uiPriority w:val="0"/>
    <w:rPr>
      <w:rFonts w:ascii="宋体" w:hAnsi="Times New Roman" w:eastAsia="宋体" w:cs="Times New Roman"/>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basedOn w:val="35"/>
    <w:semiHidden/>
    <w:unhideWhenUsed/>
    <w:uiPriority w:val="99"/>
    <w:rPr>
      <w:color w:val="954F72" w:themeColor="followedHyperlink"/>
      <w:u w:val="single"/>
      <w14:textFill>
        <w14:solidFill>
          <w14:schemeClr w14:val="folHlink"/>
        </w14:solidFill>
      </w14:textFill>
    </w:rPr>
  </w:style>
  <w:style w:type="character" w:styleId="39">
    <w:name w:val="HTML Variable"/>
    <w:uiPriority w:val="0"/>
    <w:rPr>
      <w:i/>
    </w:rPr>
  </w:style>
  <w:style w:type="character" w:styleId="40">
    <w:name w:val="Hyperlink"/>
    <w:qFormat/>
    <w:uiPriority w:val="0"/>
    <w:rPr>
      <w:color w:val="0000FF"/>
      <w:spacing w:val="0"/>
      <w:w w:val="100"/>
      <w:szCs w:val="21"/>
      <w:u w:val="single"/>
    </w:rPr>
  </w:style>
  <w:style w:type="character" w:styleId="41">
    <w:name w:val="HTML Code"/>
    <w:uiPriority w:val="0"/>
    <w:rPr>
      <w:rFonts w:ascii="Courier New" w:hAnsi="Courier New"/>
      <w:sz w:val="20"/>
      <w:szCs w:val="20"/>
    </w:rPr>
  </w:style>
  <w:style w:type="character" w:styleId="42">
    <w:name w:val="annotation reference"/>
    <w:uiPriority w:val="0"/>
    <w:rPr>
      <w:sz w:val="21"/>
      <w:szCs w:val="21"/>
    </w:rPr>
  </w:style>
  <w:style w:type="character" w:styleId="43">
    <w:name w:val="footnote reference"/>
    <w:semiHidden/>
    <w:uiPriority w:val="0"/>
    <w:rPr>
      <w:vertAlign w:val="superscript"/>
    </w:rPr>
  </w:style>
  <w:style w:type="character" w:customStyle="1" w:styleId="44">
    <w:name w:val="页眉 Char"/>
    <w:basedOn w:val="35"/>
    <w:link w:val="18"/>
    <w:qFormat/>
    <w:uiPriority w:val="0"/>
    <w:rPr>
      <w:sz w:val="18"/>
      <w:szCs w:val="18"/>
    </w:rPr>
  </w:style>
  <w:style w:type="character" w:customStyle="1" w:styleId="45">
    <w:name w:val="页脚 Char"/>
    <w:basedOn w:val="35"/>
    <w:link w:val="17"/>
    <w:qFormat/>
    <w:uiPriority w:val="0"/>
    <w:rPr>
      <w:sz w:val="18"/>
      <w:szCs w:val="18"/>
    </w:rPr>
  </w:style>
  <w:style w:type="character" w:customStyle="1" w:styleId="46">
    <w:name w:val="段 Char"/>
    <w:link w:val="23"/>
    <w:qFormat/>
    <w:uiPriority w:val="0"/>
    <w:rPr>
      <w:rFonts w:ascii="宋体" w:hAnsi="Times New Roman" w:eastAsia="宋体" w:cs="Times New Roman"/>
      <w:kern w:val="0"/>
      <w:szCs w:val="20"/>
    </w:rPr>
  </w:style>
  <w:style w:type="paragraph" w:customStyle="1" w:styleId="47">
    <w:name w:val="一级条标题"/>
    <w:next w:val="23"/>
    <w:qFormat/>
    <w:uiPriority w:val="0"/>
    <w:pPr>
      <w:numPr>
        <w:ilvl w:val="1"/>
        <w:numId w:val="2"/>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48">
    <w:name w:val="标准书脚_奇数页"/>
    <w:qFormat/>
    <w:uiPriority w:val="0"/>
    <w:pPr>
      <w:spacing w:before="120"/>
      <w:ind w:right="198"/>
      <w:jc w:val="right"/>
    </w:pPr>
    <w:rPr>
      <w:rFonts w:ascii="宋体" w:hAnsi="Times New Roman" w:eastAsia="宋体" w:cs="Times New Roman"/>
      <w:kern w:val="0"/>
      <w:sz w:val="18"/>
      <w:szCs w:val="18"/>
      <w:lang w:val="en-US" w:eastAsia="zh-CN" w:bidi="ar-SA"/>
    </w:rPr>
  </w:style>
  <w:style w:type="paragraph" w:customStyle="1" w:styleId="49">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50">
    <w:name w:val="章标题"/>
    <w:next w:val="23"/>
    <w:link w:val="149"/>
    <w:qFormat/>
    <w:uiPriority w:val="0"/>
    <w:pPr>
      <w:numPr>
        <w:ilvl w:val="0"/>
        <w:numId w:val="2"/>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51">
    <w:name w:val="二级条标题"/>
    <w:basedOn w:val="47"/>
    <w:next w:val="23"/>
    <w:qFormat/>
    <w:uiPriority w:val="0"/>
    <w:pPr>
      <w:numPr>
        <w:ilvl w:val="2"/>
      </w:numPr>
      <w:spacing w:before="50" w:after="50"/>
      <w:outlineLvl w:val="3"/>
    </w:pPr>
  </w:style>
  <w:style w:type="paragraph" w:customStyle="1" w:styleId="5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53">
    <w:name w:val="列项——（一级）"/>
    <w:qFormat/>
    <w:uiPriority w:val="0"/>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54">
    <w:name w:val="列项●（二级）"/>
    <w:qFormat/>
    <w:uiPriority w:val="0"/>
    <w:pPr>
      <w:numPr>
        <w:ilvl w:val="1"/>
        <w:numId w:val="3"/>
      </w:numPr>
      <w:tabs>
        <w:tab w:val="left" w:pos="840"/>
      </w:tabs>
      <w:jc w:val="both"/>
    </w:pPr>
    <w:rPr>
      <w:rFonts w:ascii="宋体" w:hAnsi="Times New Roman" w:eastAsia="宋体" w:cs="Times New Roman"/>
      <w:kern w:val="0"/>
      <w:sz w:val="21"/>
      <w:szCs w:val="20"/>
      <w:lang w:val="en-US" w:eastAsia="zh-CN" w:bidi="ar-SA"/>
    </w:rPr>
  </w:style>
  <w:style w:type="paragraph" w:customStyle="1" w:styleId="55">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56">
    <w:name w:val="三级条标题"/>
    <w:basedOn w:val="51"/>
    <w:next w:val="23"/>
    <w:qFormat/>
    <w:uiPriority w:val="0"/>
    <w:pPr>
      <w:numPr>
        <w:ilvl w:val="3"/>
      </w:numPr>
      <w:outlineLvl w:val="4"/>
    </w:pPr>
  </w:style>
  <w:style w:type="paragraph" w:customStyle="1" w:styleId="57">
    <w:name w:val="示例"/>
    <w:next w:val="58"/>
    <w:qFormat/>
    <w:uiPriority w:val="0"/>
    <w:pPr>
      <w:widowControl w:val="0"/>
      <w:numPr>
        <w:ilvl w:val="0"/>
        <w:numId w:val="4"/>
      </w:numPr>
      <w:jc w:val="both"/>
    </w:pPr>
    <w:rPr>
      <w:rFonts w:ascii="宋体" w:hAnsi="Times New Roman" w:eastAsia="宋体" w:cs="Times New Roman"/>
      <w:kern w:val="0"/>
      <w:sz w:val="18"/>
      <w:szCs w:val="18"/>
      <w:lang w:val="en-US" w:eastAsia="zh-CN" w:bidi="ar-SA"/>
    </w:rPr>
  </w:style>
  <w:style w:type="paragraph" w:customStyle="1" w:styleId="58">
    <w:name w:val="示例内容"/>
    <w:qFormat/>
    <w:uiPriority w:val="0"/>
    <w:pPr>
      <w:ind w:firstLine="200" w:firstLineChars="200"/>
    </w:pPr>
    <w:rPr>
      <w:rFonts w:ascii="宋体" w:hAnsi="Times New Roman" w:eastAsia="宋体" w:cs="Times New Roman"/>
      <w:kern w:val="0"/>
      <w:sz w:val="18"/>
      <w:szCs w:val="18"/>
      <w:lang w:val="en-US" w:eastAsia="zh-CN" w:bidi="ar-SA"/>
    </w:rPr>
  </w:style>
  <w:style w:type="paragraph" w:customStyle="1" w:styleId="59">
    <w:name w:val="数字编号列项（二级）"/>
    <w:qFormat/>
    <w:uiPriority w:val="0"/>
    <w:pPr>
      <w:numPr>
        <w:ilvl w:val="1"/>
        <w:numId w:val="5"/>
      </w:numPr>
      <w:jc w:val="both"/>
    </w:pPr>
    <w:rPr>
      <w:rFonts w:ascii="宋体" w:hAnsi="Times New Roman" w:eastAsia="宋体" w:cs="Times New Roman"/>
      <w:kern w:val="0"/>
      <w:sz w:val="21"/>
      <w:szCs w:val="20"/>
      <w:lang w:val="en-US" w:eastAsia="zh-CN" w:bidi="ar-SA"/>
    </w:rPr>
  </w:style>
  <w:style w:type="paragraph" w:customStyle="1" w:styleId="60">
    <w:name w:val="四级条标题"/>
    <w:basedOn w:val="56"/>
    <w:next w:val="23"/>
    <w:qFormat/>
    <w:uiPriority w:val="0"/>
    <w:pPr>
      <w:numPr>
        <w:ilvl w:val="4"/>
      </w:numPr>
      <w:outlineLvl w:val="5"/>
    </w:pPr>
  </w:style>
  <w:style w:type="paragraph" w:customStyle="1" w:styleId="61">
    <w:name w:val="五级条标题"/>
    <w:basedOn w:val="60"/>
    <w:next w:val="23"/>
    <w:qFormat/>
    <w:uiPriority w:val="0"/>
    <w:pPr>
      <w:numPr>
        <w:ilvl w:val="5"/>
      </w:numPr>
      <w:outlineLvl w:val="6"/>
    </w:pPr>
  </w:style>
  <w:style w:type="paragraph" w:customStyle="1" w:styleId="62">
    <w:name w:val="注："/>
    <w:next w:val="23"/>
    <w:qFormat/>
    <w:uiPriority w:val="0"/>
    <w:pPr>
      <w:widowControl w:val="0"/>
      <w:numPr>
        <w:ilvl w:val="0"/>
        <w:numId w:val="6"/>
      </w:numPr>
      <w:autoSpaceDE w:val="0"/>
      <w:autoSpaceDN w:val="0"/>
      <w:ind w:left="726" w:hanging="363"/>
      <w:jc w:val="both"/>
    </w:pPr>
    <w:rPr>
      <w:rFonts w:ascii="宋体" w:hAnsi="Times New Roman" w:eastAsia="宋体" w:cs="Times New Roman"/>
      <w:kern w:val="0"/>
      <w:sz w:val="18"/>
      <w:szCs w:val="18"/>
      <w:lang w:val="en-US" w:eastAsia="zh-CN" w:bidi="ar-SA"/>
    </w:rPr>
  </w:style>
  <w:style w:type="paragraph" w:customStyle="1" w:styleId="63">
    <w:name w:val="注×："/>
    <w:qFormat/>
    <w:uiPriority w:val="0"/>
    <w:pPr>
      <w:widowControl w:val="0"/>
      <w:autoSpaceDE w:val="0"/>
      <w:autoSpaceDN w:val="0"/>
      <w:ind w:left="811" w:hanging="448"/>
      <w:jc w:val="both"/>
    </w:pPr>
    <w:rPr>
      <w:rFonts w:ascii="宋体" w:hAnsi="Times New Roman" w:eastAsia="宋体" w:cs="Times New Roman"/>
      <w:kern w:val="0"/>
      <w:sz w:val="18"/>
      <w:szCs w:val="18"/>
      <w:lang w:val="en-US" w:eastAsia="zh-CN" w:bidi="ar-SA"/>
    </w:rPr>
  </w:style>
  <w:style w:type="paragraph" w:customStyle="1" w:styleId="64">
    <w:name w:val="字母编号列项（一级）"/>
    <w:qFormat/>
    <w:uiPriority w:val="0"/>
    <w:pPr>
      <w:numPr>
        <w:ilvl w:val="0"/>
        <w:numId w:val="5"/>
      </w:numPr>
      <w:jc w:val="both"/>
    </w:pPr>
    <w:rPr>
      <w:rFonts w:ascii="宋体" w:hAnsi="Times New Roman" w:eastAsia="宋体" w:cs="Times New Roman"/>
      <w:kern w:val="0"/>
      <w:sz w:val="21"/>
      <w:szCs w:val="20"/>
      <w:lang w:val="en-US" w:eastAsia="zh-CN" w:bidi="ar-SA"/>
    </w:rPr>
  </w:style>
  <w:style w:type="paragraph" w:customStyle="1" w:styleId="65">
    <w:name w:val="列项◆（三级）"/>
    <w:basedOn w:val="1"/>
    <w:qFormat/>
    <w:uiPriority w:val="0"/>
    <w:pPr>
      <w:numPr>
        <w:ilvl w:val="2"/>
        <w:numId w:val="3"/>
      </w:numPr>
    </w:pPr>
    <w:rPr>
      <w:rFonts w:ascii="宋体" w:hAnsi="Times New Roman" w:eastAsia="宋体" w:cs="Times New Roman"/>
      <w:szCs w:val="21"/>
    </w:rPr>
  </w:style>
  <w:style w:type="paragraph" w:customStyle="1" w:styleId="66">
    <w:name w:val="编号列项（三级）"/>
    <w:qFormat/>
    <w:uiPriority w:val="0"/>
    <w:pPr>
      <w:numPr>
        <w:ilvl w:val="2"/>
        <w:numId w:val="5"/>
      </w:numPr>
    </w:pPr>
    <w:rPr>
      <w:rFonts w:ascii="宋体" w:hAnsi="Times New Roman" w:eastAsia="宋体" w:cs="Times New Roman"/>
      <w:kern w:val="0"/>
      <w:sz w:val="21"/>
      <w:szCs w:val="20"/>
      <w:lang w:val="en-US" w:eastAsia="zh-CN" w:bidi="ar-SA"/>
    </w:rPr>
  </w:style>
  <w:style w:type="paragraph" w:customStyle="1" w:styleId="67">
    <w:name w:val="示例×："/>
    <w:basedOn w:val="50"/>
    <w:qFormat/>
    <w:uiPriority w:val="0"/>
    <w:pPr>
      <w:numPr>
        <w:numId w:val="7"/>
      </w:numPr>
      <w:spacing w:before="0" w:beforeLines="0" w:after="0" w:afterLines="0"/>
      <w:outlineLvl w:val="9"/>
    </w:pPr>
    <w:rPr>
      <w:rFonts w:ascii="宋体" w:eastAsia="宋体"/>
      <w:sz w:val="18"/>
      <w:szCs w:val="18"/>
    </w:rPr>
  </w:style>
  <w:style w:type="paragraph" w:customStyle="1" w:styleId="68">
    <w:name w:val="二级无"/>
    <w:basedOn w:val="51"/>
    <w:qFormat/>
    <w:uiPriority w:val="0"/>
    <w:pPr>
      <w:spacing w:before="0" w:beforeLines="0" w:after="0" w:afterLines="0"/>
      <w:ind w:left="0"/>
    </w:pPr>
    <w:rPr>
      <w:rFonts w:ascii="宋体" w:eastAsia="宋体"/>
    </w:rPr>
  </w:style>
  <w:style w:type="paragraph" w:customStyle="1" w:styleId="69">
    <w:name w:val="注：（正文）"/>
    <w:basedOn w:val="62"/>
    <w:next w:val="23"/>
    <w:qFormat/>
    <w:uiPriority w:val="0"/>
  </w:style>
  <w:style w:type="paragraph" w:customStyle="1" w:styleId="70">
    <w:name w:val="注×：（正文）"/>
    <w:qFormat/>
    <w:uiPriority w:val="0"/>
    <w:pPr>
      <w:numPr>
        <w:ilvl w:val="0"/>
        <w:numId w:val="8"/>
      </w:numPr>
      <w:jc w:val="both"/>
    </w:pPr>
    <w:rPr>
      <w:rFonts w:ascii="宋体" w:hAnsi="Times New Roman" w:eastAsia="宋体" w:cs="Times New Roman"/>
      <w:kern w:val="0"/>
      <w:sz w:val="18"/>
      <w:szCs w:val="18"/>
      <w:lang w:val="en-US" w:eastAsia="zh-CN" w:bidi="ar-SA"/>
    </w:rPr>
  </w:style>
  <w:style w:type="paragraph" w:customStyle="1" w:styleId="7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kern w:val="0"/>
      <w:sz w:val="96"/>
      <w:szCs w:val="96"/>
      <w:lang w:val="en-US" w:eastAsia="zh-CN" w:bidi="ar-SA"/>
    </w:rPr>
  </w:style>
  <w:style w:type="paragraph" w:customStyle="1" w:styleId="7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73">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74">
    <w:name w:val="标准书眉_偶数页"/>
    <w:basedOn w:val="49"/>
    <w:next w:val="1"/>
    <w:qFormat/>
    <w:uiPriority w:val="0"/>
    <w:pPr>
      <w:jc w:val="left"/>
    </w:pPr>
  </w:style>
  <w:style w:type="paragraph" w:customStyle="1" w:styleId="75">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76">
    <w:name w:val="参考文献"/>
    <w:basedOn w:val="1"/>
    <w:next w:val="23"/>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paragraph" w:customStyle="1" w:styleId="77">
    <w:name w:val="参考文献、索引标题"/>
    <w:basedOn w:val="1"/>
    <w:next w:val="23"/>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character" w:customStyle="1" w:styleId="78">
    <w:name w:val="发布"/>
    <w:qFormat/>
    <w:uiPriority w:val="0"/>
    <w:rPr>
      <w:rFonts w:ascii="黑体" w:eastAsia="黑体"/>
      <w:spacing w:val="85"/>
      <w:w w:val="100"/>
      <w:position w:val="3"/>
      <w:sz w:val="28"/>
      <w:szCs w:val="28"/>
    </w:rPr>
  </w:style>
  <w:style w:type="paragraph" w:customStyle="1" w:styleId="79">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80">
    <w:name w:val="发布日期"/>
    <w:qFormat/>
    <w:uiPriority w:val="0"/>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8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8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8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84">
    <w:name w:val="封面标准英文名称"/>
    <w:basedOn w:val="83"/>
    <w:qFormat/>
    <w:uiPriority w:val="0"/>
    <w:pPr>
      <w:spacing w:before="370" w:line="400" w:lineRule="exact"/>
    </w:pPr>
    <w:rPr>
      <w:rFonts w:ascii="Times New Roman"/>
      <w:sz w:val="28"/>
      <w:szCs w:val="28"/>
    </w:rPr>
  </w:style>
  <w:style w:type="paragraph" w:customStyle="1" w:styleId="85">
    <w:name w:val="封面一致性程度标识"/>
    <w:basedOn w:val="84"/>
    <w:qFormat/>
    <w:uiPriority w:val="0"/>
    <w:pPr>
      <w:spacing w:before="440"/>
    </w:pPr>
    <w:rPr>
      <w:rFonts w:ascii="宋体" w:eastAsia="宋体"/>
    </w:rPr>
  </w:style>
  <w:style w:type="paragraph" w:customStyle="1" w:styleId="86">
    <w:name w:val="封面标准文稿类别"/>
    <w:basedOn w:val="85"/>
    <w:qFormat/>
    <w:uiPriority w:val="0"/>
    <w:pPr>
      <w:spacing w:after="160" w:line="240" w:lineRule="auto"/>
    </w:pPr>
    <w:rPr>
      <w:sz w:val="24"/>
    </w:rPr>
  </w:style>
  <w:style w:type="paragraph" w:customStyle="1" w:styleId="87">
    <w:name w:val="封面标准文稿编辑信息"/>
    <w:basedOn w:val="86"/>
    <w:qFormat/>
    <w:uiPriority w:val="0"/>
    <w:pPr>
      <w:spacing w:before="180" w:line="180" w:lineRule="exact"/>
    </w:pPr>
    <w:rPr>
      <w:sz w:val="21"/>
    </w:rPr>
  </w:style>
  <w:style w:type="paragraph" w:customStyle="1" w:styleId="88">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89">
    <w:name w:val="附录标识"/>
    <w:basedOn w:val="1"/>
    <w:next w:val="23"/>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90">
    <w:name w:val="附录标题"/>
    <w:basedOn w:val="23"/>
    <w:next w:val="23"/>
    <w:qFormat/>
    <w:uiPriority w:val="0"/>
    <w:pPr>
      <w:ind w:firstLine="0" w:firstLineChars="0"/>
      <w:jc w:val="center"/>
    </w:pPr>
    <w:rPr>
      <w:rFonts w:ascii="黑体" w:eastAsia="黑体"/>
    </w:rPr>
  </w:style>
  <w:style w:type="paragraph" w:customStyle="1" w:styleId="91">
    <w:name w:val="附录表标号"/>
    <w:basedOn w:val="1"/>
    <w:next w:val="23"/>
    <w:qFormat/>
    <w:uiPriority w:val="0"/>
    <w:pPr>
      <w:numPr>
        <w:ilvl w:val="0"/>
        <w:numId w:val="10"/>
      </w:numPr>
      <w:tabs>
        <w:tab w:val="clear" w:pos="0"/>
      </w:tabs>
      <w:spacing w:line="14" w:lineRule="exact"/>
      <w:ind w:left="811" w:hanging="448"/>
      <w:jc w:val="center"/>
      <w:outlineLvl w:val="0"/>
    </w:pPr>
    <w:rPr>
      <w:rFonts w:ascii="Times New Roman" w:hAnsi="Times New Roman" w:eastAsia="宋体" w:cs="Times New Roman"/>
      <w:color w:val="FFFFFF"/>
      <w:szCs w:val="24"/>
    </w:rPr>
  </w:style>
  <w:style w:type="paragraph" w:customStyle="1" w:styleId="92">
    <w:name w:val="附录表标题"/>
    <w:basedOn w:val="1"/>
    <w:next w:val="23"/>
    <w:qFormat/>
    <w:uiPriority w:val="0"/>
    <w:pPr>
      <w:numPr>
        <w:ilvl w:val="1"/>
        <w:numId w:val="10"/>
      </w:numPr>
      <w:tabs>
        <w:tab w:val="left" w:pos="180"/>
      </w:tabs>
      <w:spacing w:before="50" w:beforeLines="50" w:after="50" w:afterLines="50"/>
      <w:ind w:left="0" w:firstLine="0"/>
      <w:jc w:val="center"/>
    </w:pPr>
    <w:rPr>
      <w:rFonts w:ascii="黑体" w:hAnsi="Times New Roman" w:eastAsia="黑体" w:cs="Times New Roman"/>
      <w:szCs w:val="21"/>
    </w:rPr>
  </w:style>
  <w:style w:type="paragraph" w:customStyle="1" w:styleId="93">
    <w:name w:val="附录二级条标题"/>
    <w:basedOn w:val="1"/>
    <w:next w:val="23"/>
    <w:qFormat/>
    <w:uiPriority w:val="0"/>
    <w:pPr>
      <w:widowControl/>
      <w:numPr>
        <w:ilvl w:val="3"/>
        <w:numId w:val="9"/>
      </w:numPr>
      <w:tabs>
        <w:tab w:val="left" w:pos="360"/>
      </w:tabs>
      <w:wordWrap w:val="0"/>
      <w:overflowPunct w:val="0"/>
      <w:autoSpaceDE w:val="0"/>
      <w:autoSpaceDN w:val="0"/>
      <w:spacing w:before="50" w:beforeLines="50" w:after="50" w:afterLines="50"/>
      <w:textAlignment w:val="baseline"/>
      <w:outlineLvl w:val="3"/>
    </w:pPr>
    <w:rPr>
      <w:rFonts w:ascii="黑体" w:hAnsi="Times New Roman" w:eastAsia="黑体" w:cs="Times New Roman"/>
      <w:kern w:val="21"/>
      <w:szCs w:val="20"/>
    </w:rPr>
  </w:style>
  <w:style w:type="paragraph" w:customStyle="1" w:styleId="94">
    <w:name w:val="附录二级无"/>
    <w:basedOn w:val="93"/>
    <w:qFormat/>
    <w:uiPriority w:val="0"/>
    <w:pPr>
      <w:tabs>
        <w:tab w:val="clear" w:pos="360"/>
      </w:tabs>
      <w:spacing w:before="0" w:beforeLines="0" w:after="0" w:afterLines="0"/>
    </w:pPr>
    <w:rPr>
      <w:rFonts w:ascii="宋体" w:eastAsia="宋体"/>
      <w:szCs w:val="21"/>
    </w:rPr>
  </w:style>
  <w:style w:type="paragraph" w:customStyle="1" w:styleId="95">
    <w:name w:val="附录公式"/>
    <w:basedOn w:val="23"/>
    <w:next w:val="23"/>
    <w:link w:val="96"/>
    <w:qFormat/>
    <w:uiPriority w:val="0"/>
  </w:style>
  <w:style w:type="character" w:customStyle="1" w:styleId="96">
    <w:name w:val="附录公式 Char"/>
    <w:basedOn w:val="46"/>
    <w:link w:val="95"/>
    <w:qFormat/>
    <w:uiPriority w:val="0"/>
    <w:rPr>
      <w:rFonts w:ascii="宋体" w:hAnsi="Times New Roman" w:eastAsia="宋体" w:cs="Times New Roman"/>
      <w:kern w:val="0"/>
      <w:szCs w:val="20"/>
    </w:rPr>
  </w:style>
  <w:style w:type="paragraph" w:customStyle="1" w:styleId="97">
    <w:name w:val="附录公式编号制表符"/>
    <w:basedOn w:val="1"/>
    <w:next w:val="23"/>
    <w:qFormat/>
    <w:uiPriority w:val="0"/>
    <w:pPr>
      <w:widowControl/>
      <w:tabs>
        <w:tab w:val="center" w:pos="4201"/>
        <w:tab w:val="right" w:leader="dot" w:pos="9298"/>
      </w:tabs>
      <w:autoSpaceDE w:val="0"/>
      <w:autoSpaceDN w:val="0"/>
    </w:pPr>
    <w:rPr>
      <w:rFonts w:ascii="宋体" w:hAnsi="Times New Roman" w:eastAsia="宋体" w:cs="Times New Roman"/>
      <w:kern w:val="0"/>
      <w:szCs w:val="20"/>
    </w:rPr>
  </w:style>
  <w:style w:type="paragraph" w:customStyle="1" w:styleId="98">
    <w:name w:val="附录三级条标题"/>
    <w:basedOn w:val="93"/>
    <w:next w:val="23"/>
    <w:qFormat/>
    <w:uiPriority w:val="0"/>
    <w:pPr>
      <w:numPr>
        <w:ilvl w:val="4"/>
      </w:numPr>
      <w:outlineLvl w:val="4"/>
    </w:pPr>
  </w:style>
  <w:style w:type="paragraph" w:customStyle="1" w:styleId="99">
    <w:name w:val="附录三级无"/>
    <w:basedOn w:val="98"/>
    <w:qFormat/>
    <w:uiPriority w:val="0"/>
    <w:pPr>
      <w:tabs>
        <w:tab w:val="clear" w:pos="360"/>
      </w:tabs>
      <w:spacing w:before="0" w:beforeLines="0" w:after="0" w:afterLines="0"/>
    </w:pPr>
    <w:rPr>
      <w:rFonts w:ascii="宋体" w:eastAsia="宋体"/>
      <w:szCs w:val="21"/>
    </w:rPr>
  </w:style>
  <w:style w:type="paragraph" w:customStyle="1" w:styleId="100">
    <w:name w:val="附录数字编号列项（二级）"/>
    <w:qFormat/>
    <w:uiPriority w:val="0"/>
    <w:pPr>
      <w:numPr>
        <w:ilvl w:val="1"/>
        <w:numId w:val="11"/>
      </w:numPr>
    </w:pPr>
    <w:rPr>
      <w:rFonts w:ascii="宋体" w:hAnsi="Times New Roman" w:eastAsia="宋体" w:cs="Times New Roman"/>
      <w:kern w:val="0"/>
      <w:sz w:val="21"/>
      <w:szCs w:val="20"/>
      <w:lang w:val="en-US" w:eastAsia="zh-CN" w:bidi="ar-SA"/>
    </w:rPr>
  </w:style>
  <w:style w:type="paragraph" w:customStyle="1" w:styleId="101">
    <w:name w:val="附录四级条标题"/>
    <w:basedOn w:val="98"/>
    <w:next w:val="23"/>
    <w:qFormat/>
    <w:uiPriority w:val="0"/>
    <w:pPr>
      <w:numPr>
        <w:ilvl w:val="5"/>
      </w:numPr>
      <w:outlineLvl w:val="5"/>
    </w:pPr>
  </w:style>
  <w:style w:type="paragraph" w:customStyle="1" w:styleId="102">
    <w:name w:val="附录四级无"/>
    <w:basedOn w:val="101"/>
    <w:qFormat/>
    <w:uiPriority w:val="0"/>
    <w:pPr>
      <w:tabs>
        <w:tab w:val="clear" w:pos="360"/>
      </w:tabs>
      <w:spacing w:before="0" w:beforeLines="0" w:after="0" w:afterLines="0"/>
    </w:pPr>
    <w:rPr>
      <w:rFonts w:ascii="宋体" w:eastAsia="宋体"/>
      <w:szCs w:val="21"/>
    </w:rPr>
  </w:style>
  <w:style w:type="paragraph" w:customStyle="1" w:styleId="103">
    <w:name w:val="附录图标号"/>
    <w:basedOn w:val="1"/>
    <w:qFormat/>
    <w:uiPriority w:val="0"/>
    <w:pPr>
      <w:keepNext/>
      <w:pageBreakBefore/>
      <w:widowControl/>
      <w:numPr>
        <w:ilvl w:val="0"/>
        <w:numId w:val="12"/>
      </w:numPr>
      <w:spacing w:line="14" w:lineRule="exact"/>
      <w:ind w:left="0" w:firstLine="363"/>
      <w:jc w:val="center"/>
      <w:outlineLvl w:val="0"/>
    </w:pPr>
    <w:rPr>
      <w:rFonts w:ascii="Times New Roman" w:hAnsi="Times New Roman" w:eastAsia="宋体" w:cs="Times New Roman"/>
      <w:color w:val="FFFFFF"/>
      <w:szCs w:val="24"/>
    </w:rPr>
  </w:style>
  <w:style w:type="paragraph" w:customStyle="1" w:styleId="104">
    <w:name w:val="附录图标题"/>
    <w:basedOn w:val="1"/>
    <w:next w:val="23"/>
    <w:qFormat/>
    <w:uiPriority w:val="0"/>
    <w:pPr>
      <w:numPr>
        <w:ilvl w:val="1"/>
        <w:numId w:val="12"/>
      </w:numPr>
      <w:tabs>
        <w:tab w:val="left" w:pos="363"/>
      </w:tabs>
      <w:spacing w:before="50" w:beforeLines="50" w:after="50" w:afterLines="50"/>
      <w:ind w:left="0" w:firstLine="0"/>
      <w:jc w:val="center"/>
    </w:pPr>
    <w:rPr>
      <w:rFonts w:ascii="黑体" w:hAnsi="Times New Roman" w:eastAsia="黑体" w:cs="Times New Roman"/>
      <w:szCs w:val="21"/>
    </w:rPr>
  </w:style>
  <w:style w:type="paragraph" w:customStyle="1" w:styleId="105">
    <w:name w:val="附录五级条标题"/>
    <w:basedOn w:val="101"/>
    <w:next w:val="23"/>
    <w:qFormat/>
    <w:uiPriority w:val="0"/>
    <w:pPr>
      <w:numPr>
        <w:ilvl w:val="6"/>
      </w:numPr>
      <w:outlineLvl w:val="6"/>
    </w:pPr>
  </w:style>
  <w:style w:type="paragraph" w:customStyle="1" w:styleId="106">
    <w:name w:val="附录五级无"/>
    <w:basedOn w:val="105"/>
    <w:qFormat/>
    <w:uiPriority w:val="0"/>
    <w:pPr>
      <w:tabs>
        <w:tab w:val="clear" w:pos="360"/>
      </w:tabs>
      <w:spacing w:before="0" w:beforeLines="0" w:after="0" w:afterLines="0"/>
    </w:pPr>
    <w:rPr>
      <w:rFonts w:ascii="宋体" w:eastAsia="宋体"/>
      <w:szCs w:val="21"/>
    </w:rPr>
  </w:style>
  <w:style w:type="paragraph" w:customStyle="1" w:styleId="107">
    <w:name w:val="附录章标题"/>
    <w:next w:val="23"/>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08">
    <w:name w:val="附录一级条标题"/>
    <w:basedOn w:val="107"/>
    <w:next w:val="23"/>
    <w:qFormat/>
    <w:uiPriority w:val="0"/>
    <w:pPr>
      <w:numPr>
        <w:ilvl w:val="2"/>
      </w:numPr>
      <w:autoSpaceDN w:val="0"/>
      <w:spacing w:before="50" w:beforeLines="50" w:after="50" w:afterLines="50"/>
      <w:outlineLvl w:val="2"/>
    </w:pPr>
  </w:style>
  <w:style w:type="paragraph" w:customStyle="1" w:styleId="109">
    <w:name w:val="附录一级无"/>
    <w:basedOn w:val="108"/>
    <w:qFormat/>
    <w:uiPriority w:val="0"/>
    <w:pPr>
      <w:tabs>
        <w:tab w:val="clear" w:pos="360"/>
      </w:tabs>
      <w:spacing w:before="0" w:beforeLines="0" w:after="0" w:afterLines="0"/>
    </w:pPr>
    <w:rPr>
      <w:rFonts w:ascii="宋体" w:eastAsia="宋体"/>
      <w:szCs w:val="21"/>
    </w:rPr>
  </w:style>
  <w:style w:type="paragraph" w:customStyle="1" w:styleId="110">
    <w:name w:val="附录字母编号列项（一级）"/>
    <w:qFormat/>
    <w:uiPriority w:val="0"/>
    <w:pPr>
      <w:numPr>
        <w:ilvl w:val="0"/>
        <w:numId w:val="11"/>
      </w:numPr>
    </w:pPr>
    <w:rPr>
      <w:rFonts w:ascii="宋体" w:hAnsi="Times New Roman" w:eastAsia="宋体" w:cs="Times New Roman"/>
      <w:kern w:val="0"/>
      <w:sz w:val="21"/>
      <w:szCs w:val="20"/>
      <w:lang w:val="en-US" w:eastAsia="zh-CN" w:bidi="ar-SA"/>
    </w:rPr>
  </w:style>
  <w:style w:type="character" w:customStyle="1" w:styleId="111">
    <w:name w:val="脚注文本 Char"/>
    <w:basedOn w:val="35"/>
    <w:link w:val="24"/>
    <w:qFormat/>
    <w:uiPriority w:val="0"/>
    <w:rPr>
      <w:rFonts w:ascii="宋体" w:hAnsi="Times New Roman" w:eastAsia="宋体" w:cs="Times New Roman"/>
      <w:sz w:val="18"/>
      <w:szCs w:val="18"/>
    </w:rPr>
  </w:style>
  <w:style w:type="paragraph" w:customStyle="1" w:styleId="112">
    <w:name w:val="列项说明"/>
    <w:basedOn w:val="1"/>
    <w:qFormat/>
    <w:uiPriority w:val="0"/>
    <w:pPr>
      <w:adjustRightInd w:val="0"/>
      <w:spacing w:line="320" w:lineRule="exact"/>
      <w:ind w:left="400" w:leftChars="200" w:hanging="200" w:hangingChars="200"/>
      <w:jc w:val="left"/>
      <w:textAlignment w:val="baseline"/>
    </w:pPr>
    <w:rPr>
      <w:rFonts w:ascii="宋体" w:hAnsi="Times New Roman" w:eastAsia="宋体" w:cs="Times New Roman"/>
      <w:kern w:val="0"/>
      <w:szCs w:val="20"/>
    </w:rPr>
  </w:style>
  <w:style w:type="paragraph" w:customStyle="1" w:styleId="113">
    <w:name w:val="列项说明数字编号"/>
    <w:qFormat/>
    <w:uiPriority w:val="0"/>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14">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15">
    <w:name w:val="其他标准标志"/>
    <w:basedOn w:val="71"/>
    <w:qFormat/>
    <w:uiPriority w:val="0"/>
    <w:pPr>
      <w:framePr w:w="6101" w:vAnchor="page" w:hAnchor="page" w:x="4673" w:y="942"/>
    </w:pPr>
    <w:rPr>
      <w:w w:val="130"/>
    </w:r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117">
    <w:name w:val="其他发布部门"/>
    <w:basedOn w:val="79"/>
    <w:qFormat/>
    <w:uiPriority w:val="0"/>
    <w:pPr>
      <w:framePr w:y="15310"/>
      <w:spacing w:line="0" w:lineRule="atLeast"/>
    </w:pPr>
    <w:rPr>
      <w:rFonts w:ascii="黑体" w:eastAsia="黑体"/>
      <w:b w:val="0"/>
    </w:rPr>
  </w:style>
  <w:style w:type="paragraph" w:customStyle="1" w:styleId="118">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19">
    <w:name w:val="三级无"/>
    <w:basedOn w:val="56"/>
    <w:qFormat/>
    <w:uiPriority w:val="0"/>
    <w:pPr>
      <w:spacing w:before="0" w:beforeLines="0" w:after="0" w:afterLines="0"/>
    </w:pPr>
    <w:rPr>
      <w:rFonts w:ascii="宋体" w:eastAsia="宋体"/>
    </w:rPr>
  </w:style>
  <w:style w:type="paragraph" w:customStyle="1" w:styleId="120">
    <w:name w:val="实施日期"/>
    <w:basedOn w:val="80"/>
    <w:qFormat/>
    <w:uiPriority w:val="0"/>
    <w:pPr>
      <w:framePr w:vAnchor="page" w:hAnchor="text"/>
      <w:jc w:val="right"/>
    </w:pPr>
  </w:style>
  <w:style w:type="paragraph" w:customStyle="1" w:styleId="121">
    <w:name w:val="示例后文字"/>
    <w:basedOn w:val="23"/>
    <w:next w:val="23"/>
    <w:qFormat/>
    <w:uiPriority w:val="0"/>
    <w:pPr>
      <w:ind w:firstLine="360"/>
    </w:pPr>
    <w:rPr>
      <w:sz w:val="18"/>
    </w:rPr>
  </w:style>
  <w:style w:type="paragraph" w:customStyle="1" w:styleId="122">
    <w:name w:val="首示例"/>
    <w:next w:val="23"/>
    <w:link w:val="123"/>
    <w:qFormat/>
    <w:uiPriority w:val="0"/>
    <w:pPr>
      <w:tabs>
        <w:tab w:val="left" w:pos="360"/>
      </w:tabs>
    </w:pPr>
    <w:rPr>
      <w:rFonts w:ascii="宋体" w:hAnsi="宋体" w:eastAsia="宋体" w:cs="Times New Roman"/>
      <w:kern w:val="2"/>
      <w:sz w:val="18"/>
      <w:szCs w:val="18"/>
      <w:lang w:val="en-US" w:eastAsia="zh-CN" w:bidi="ar-SA"/>
    </w:rPr>
  </w:style>
  <w:style w:type="character" w:customStyle="1" w:styleId="123">
    <w:name w:val="首示例 Char"/>
    <w:link w:val="122"/>
    <w:qFormat/>
    <w:uiPriority w:val="0"/>
    <w:rPr>
      <w:rFonts w:ascii="宋体" w:hAnsi="宋体" w:eastAsia="宋体" w:cs="Times New Roman"/>
      <w:sz w:val="18"/>
      <w:szCs w:val="18"/>
    </w:rPr>
  </w:style>
  <w:style w:type="paragraph" w:customStyle="1" w:styleId="124">
    <w:name w:val="四级无"/>
    <w:basedOn w:val="60"/>
    <w:qFormat/>
    <w:uiPriority w:val="0"/>
    <w:pPr>
      <w:numPr>
        <w:ilvl w:val="0"/>
        <w:numId w:val="13"/>
      </w:numPr>
      <w:spacing w:before="0" w:beforeLines="0" w:after="0" w:afterLines="0"/>
      <w:ind w:firstLine="0"/>
    </w:pPr>
    <w:rPr>
      <w:rFonts w:ascii="宋体" w:eastAsia="宋体"/>
    </w:rPr>
  </w:style>
  <w:style w:type="paragraph" w:customStyle="1" w:styleId="125">
    <w:name w:val="条文脚注"/>
    <w:basedOn w:val="24"/>
    <w:qFormat/>
    <w:uiPriority w:val="0"/>
    <w:pPr>
      <w:numPr>
        <w:numId w:val="0"/>
      </w:numPr>
      <w:jc w:val="both"/>
    </w:pPr>
  </w:style>
  <w:style w:type="paragraph" w:customStyle="1" w:styleId="126">
    <w:name w:val="图标脚注说明"/>
    <w:basedOn w:val="23"/>
    <w:qFormat/>
    <w:uiPriority w:val="0"/>
    <w:pPr>
      <w:ind w:left="840" w:hanging="420" w:firstLineChars="0"/>
    </w:pPr>
    <w:rPr>
      <w:sz w:val="18"/>
      <w:szCs w:val="18"/>
    </w:rPr>
  </w:style>
  <w:style w:type="paragraph" w:customStyle="1" w:styleId="127">
    <w:name w:val="图表脚注说明"/>
    <w:basedOn w:val="1"/>
    <w:qFormat/>
    <w:uiPriority w:val="0"/>
    <w:pPr>
      <w:numPr>
        <w:ilvl w:val="0"/>
        <w:numId w:val="14"/>
      </w:numPr>
    </w:pPr>
    <w:rPr>
      <w:rFonts w:ascii="宋体" w:hAnsi="Times New Roman" w:eastAsia="宋体" w:cs="Times New Roman"/>
      <w:sz w:val="18"/>
      <w:szCs w:val="18"/>
    </w:rPr>
  </w:style>
  <w:style w:type="paragraph" w:customStyle="1" w:styleId="128">
    <w:name w:val="图的脚注"/>
    <w:next w:val="23"/>
    <w:qFormat/>
    <w:uiPriority w:val="0"/>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character" w:customStyle="1" w:styleId="129">
    <w:name w:val="尾注文本 Char"/>
    <w:basedOn w:val="35"/>
    <w:link w:val="15"/>
    <w:semiHidden/>
    <w:qFormat/>
    <w:uiPriority w:val="0"/>
    <w:rPr>
      <w:rFonts w:ascii="Times New Roman" w:hAnsi="Times New Roman" w:eastAsia="宋体" w:cs="Times New Roman"/>
      <w:szCs w:val="24"/>
    </w:rPr>
  </w:style>
  <w:style w:type="character" w:customStyle="1" w:styleId="130">
    <w:name w:val="文档结构图 Char"/>
    <w:basedOn w:val="35"/>
    <w:link w:val="6"/>
    <w:semiHidden/>
    <w:qFormat/>
    <w:uiPriority w:val="0"/>
    <w:rPr>
      <w:rFonts w:ascii="Times New Roman" w:hAnsi="Times New Roman" w:eastAsia="宋体" w:cs="Times New Roman"/>
      <w:szCs w:val="24"/>
      <w:shd w:val="clear" w:color="auto" w:fill="000080"/>
    </w:rPr>
  </w:style>
  <w:style w:type="paragraph" w:customStyle="1" w:styleId="13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32">
    <w:name w:val="五级无"/>
    <w:basedOn w:val="61"/>
    <w:qFormat/>
    <w:uiPriority w:val="0"/>
    <w:pPr>
      <w:spacing w:before="0" w:beforeLines="0" w:after="0" w:afterLines="0"/>
    </w:pPr>
    <w:rPr>
      <w:rFonts w:ascii="宋体" w:eastAsia="宋体"/>
    </w:rPr>
  </w:style>
  <w:style w:type="paragraph" w:customStyle="1" w:styleId="133">
    <w:name w:val="一级无"/>
    <w:basedOn w:val="47"/>
    <w:qFormat/>
    <w:uiPriority w:val="0"/>
    <w:pPr>
      <w:spacing w:before="0" w:beforeLines="0" w:after="0" w:afterLines="0"/>
    </w:pPr>
    <w:rPr>
      <w:rFonts w:ascii="宋体" w:eastAsia="宋体"/>
    </w:rPr>
  </w:style>
  <w:style w:type="paragraph" w:customStyle="1" w:styleId="134">
    <w:name w:val="_Style 1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5">
    <w:name w:val="正文表标题"/>
    <w:next w:val="23"/>
    <w:uiPriority w:val="0"/>
    <w:p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136">
    <w:name w:val="正文公式编号制表符"/>
    <w:basedOn w:val="23"/>
    <w:next w:val="23"/>
    <w:qFormat/>
    <w:uiPriority w:val="0"/>
    <w:pPr>
      <w:ind w:firstLine="0" w:firstLineChars="0"/>
    </w:pPr>
  </w:style>
  <w:style w:type="paragraph" w:customStyle="1" w:styleId="137">
    <w:name w:val="正文图标题"/>
    <w:next w:val="23"/>
    <w:qFormat/>
    <w:uiPriority w:val="0"/>
    <w:pPr>
      <w:numPr>
        <w:ilvl w:val="0"/>
        <w:numId w:val="15"/>
      </w:num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138">
    <w:name w:val="终结线"/>
    <w:basedOn w:val="1"/>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139">
    <w:name w:val="其他发布日期"/>
    <w:basedOn w:val="80"/>
    <w:qFormat/>
    <w:uiPriority w:val="0"/>
    <w:pPr>
      <w:framePr w:vAnchor="page" w:hAnchor="text" w:x="1419"/>
      <w:numPr>
        <w:ilvl w:val="0"/>
        <w:numId w:val="16"/>
      </w:numPr>
    </w:pPr>
  </w:style>
  <w:style w:type="paragraph" w:customStyle="1" w:styleId="140">
    <w:name w:val="其他实施日期"/>
    <w:basedOn w:val="120"/>
    <w:qFormat/>
    <w:uiPriority w:val="0"/>
  </w:style>
  <w:style w:type="paragraph" w:customStyle="1" w:styleId="141">
    <w:name w:val="封面标准名称2"/>
    <w:basedOn w:val="83"/>
    <w:qFormat/>
    <w:uiPriority w:val="0"/>
    <w:pPr>
      <w:framePr w:y="4469"/>
      <w:spacing w:before="630" w:beforeLines="630"/>
    </w:pPr>
  </w:style>
  <w:style w:type="paragraph" w:customStyle="1" w:styleId="142">
    <w:name w:val="封面标准英文名称2"/>
    <w:basedOn w:val="84"/>
    <w:qFormat/>
    <w:uiPriority w:val="0"/>
    <w:pPr>
      <w:framePr w:y="4469"/>
    </w:pPr>
  </w:style>
  <w:style w:type="paragraph" w:customStyle="1" w:styleId="143">
    <w:name w:val="封面一致性程度标识2"/>
    <w:basedOn w:val="85"/>
    <w:qFormat/>
    <w:uiPriority w:val="0"/>
    <w:pPr>
      <w:framePr w:y="4469"/>
    </w:pPr>
  </w:style>
  <w:style w:type="paragraph" w:customStyle="1" w:styleId="144">
    <w:name w:val="封面标准文稿类别2"/>
    <w:basedOn w:val="86"/>
    <w:qFormat/>
    <w:uiPriority w:val="0"/>
    <w:pPr>
      <w:framePr w:y="4469"/>
    </w:pPr>
  </w:style>
  <w:style w:type="paragraph" w:customStyle="1" w:styleId="145">
    <w:name w:val="封面标准文稿编辑信息2"/>
    <w:basedOn w:val="87"/>
    <w:qFormat/>
    <w:uiPriority w:val="0"/>
    <w:pPr>
      <w:framePr w:y="4469"/>
    </w:pPr>
  </w:style>
  <w:style w:type="paragraph" w:customStyle="1" w:styleId="146">
    <w:name w:val="Char Char Char"/>
    <w:basedOn w:val="1"/>
    <w:qFormat/>
    <w:uiPriority w:val="0"/>
    <w:pPr>
      <w:numPr>
        <w:ilvl w:val="0"/>
        <w:numId w:val="17"/>
      </w:numPr>
      <w:adjustRightInd w:val="0"/>
      <w:spacing w:line="360" w:lineRule="atLeast"/>
      <w:textAlignment w:val="baseline"/>
    </w:pPr>
    <w:rPr>
      <w:rFonts w:ascii="Tahoma" w:hAnsi="Tahoma" w:eastAsia="宋体" w:cs="Times New Roman"/>
      <w:sz w:val="24"/>
      <w:szCs w:val="20"/>
    </w:rPr>
  </w:style>
  <w:style w:type="paragraph" w:customStyle="1" w:styleId="147">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48">
    <w:name w:val="图表脚注"/>
    <w:next w:val="23"/>
    <w:qFormat/>
    <w:uiPriority w:val="0"/>
    <w:pPr>
      <w:ind w:left="300" w:leftChars="200" w:hanging="100" w:hangingChars="100"/>
      <w:jc w:val="both"/>
    </w:pPr>
    <w:rPr>
      <w:rFonts w:ascii="宋体" w:hAnsi="Times New Roman" w:eastAsia="宋体" w:cs="Times New Roman"/>
      <w:kern w:val="0"/>
      <w:sz w:val="18"/>
      <w:szCs w:val="20"/>
      <w:lang w:val="en-US" w:eastAsia="zh-CN" w:bidi="ar-SA"/>
    </w:rPr>
  </w:style>
  <w:style w:type="character" w:customStyle="1" w:styleId="149">
    <w:name w:val="章标题 Char"/>
    <w:link w:val="50"/>
    <w:qFormat/>
    <w:uiPriority w:val="0"/>
    <w:rPr>
      <w:rFonts w:ascii="黑体" w:hAnsi="Times New Roman" w:eastAsia="黑体" w:cs="Times New Roman"/>
      <w:kern w:val="0"/>
      <w:szCs w:val="20"/>
    </w:rPr>
  </w:style>
  <w:style w:type="paragraph" w:customStyle="1" w:styleId="150">
    <w:name w:val="四级无标题条"/>
    <w:basedOn w:val="1"/>
    <w:qFormat/>
    <w:uiPriority w:val="0"/>
    <w:rPr>
      <w:rFonts w:ascii="Times New Roman" w:hAnsi="Times New Roman" w:eastAsia="宋体" w:cs="Times New Roman"/>
      <w:szCs w:val="24"/>
    </w:rPr>
  </w:style>
  <w:style w:type="paragraph" w:customStyle="1" w:styleId="151">
    <w:name w:val="一级无标题条"/>
    <w:basedOn w:val="1"/>
    <w:qFormat/>
    <w:uiPriority w:val="0"/>
    <w:pPr>
      <w:numPr>
        <w:ilvl w:val="2"/>
        <w:numId w:val="18"/>
      </w:numPr>
    </w:pPr>
    <w:rPr>
      <w:rFonts w:ascii="Times New Roman" w:hAnsi="Times New Roman" w:eastAsia="宋体" w:cs="Times New Roman"/>
      <w:szCs w:val="24"/>
    </w:rPr>
  </w:style>
  <w:style w:type="character" w:customStyle="1" w:styleId="152">
    <w:name w:val="15"/>
    <w:qFormat/>
    <w:uiPriority w:val="0"/>
    <w:rPr>
      <w:rFonts w:hint="default" w:ascii="Times New Roman" w:hAnsi="Times New Roman" w:cs="Times New Roman"/>
      <w:color w:val="0268CD"/>
    </w:rPr>
  </w:style>
  <w:style w:type="character" w:customStyle="1" w:styleId="153">
    <w:name w:val="show-img-bd"/>
    <w:qFormat/>
    <w:uiPriority w:val="0"/>
  </w:style>
  <w:style w:type="character" w:customStyle="1" w:styleId="154">
    <w:name w:val="apple-converted-space"/>
    <w:qFormat/>
    <w:uiPriority w:val="0"/>
  </w:style>
  <w:style w:type="character" w:customStyle="1" w:styleId="155">
    <w:name w:val="纯文本 Char"/>
    <w:basedOn w:val="35"/>
    <w:link w:val="12"/>
    <w:qFormat/>
    <w:uiPriority w:val="0"/>
    <w:rPr>
      <w:rFonts w:ascii="宋体" w:hAnsi="Courier New" w:eastAsia="宋体" w:cs="Times New Roman"/>
      <w:szCs w:val="21"/>
      <w:lang w:val="zh-CN" w:eastAsia="zh-CN"/>
    </w:rPr>
  </w:style>
  <w:style w:type="character" w:customStyle="1" w:styleId="156">
    <w:name w:val="批注框文本 Char"/>
    <w:basedOn w:val="35"/>
    <w:link w:val="16"/>
    <w:qFormat/>
    <w:uiPriority w:val="0"/>
    <w:rPr>
      <w:rFonts w:ascii="Times New Roman" w:hAnsi="Times New Roman" w:eastAsia="宋体" w:cs="Times New Roman"/>
      <w:sz w:val="18"/>
      <w:szCs w:val="18"/>
    </w:rPr>
  </w:style>
  <w:style w:type="character" w:customStyle="1" w:styleId="157">
    <w:name w:val="批注文字 Char"/>
    <w:basedOn w:val="35"/>
    <w:link w:val="7"/>
    <w:qFormat/>
    <w:uiPriority w:val="0"/>
    <w:rPr>
      <w:rFonts w:ascii="Times New Roman" w:hAnsi="Times New Roman" w:eastAsia="宋体" w:cs="Times New Roman"/>
      <w:szCs w:val="24"/>
    </w:rPr>
  </w:style>
  <w:style w:type="character" w:customStyle="1" w:styleId="158">
    <w:name w:val="批注主题 Char"/>
    <w:basedOn w:val="157"/>
    <w:link w:val="32"/>
    <w:qFormat/>
    <w:uiPriority w:val="0"/>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1399</Words>
  <Characters>7978</Characters>
  <Lines>66</Lines>
  <Paragraphs>18</Paragraphs>
  <TotalTime>0</TotalTime>
  <ScaleCrop>false</ScaleCrop>
  <LinksUpToDate>false</LinksUpToDate>
  <CharactersWithSpaces>9359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2020-04-17T07:30:00Z</dcterms:created>
  <dc:creator>HGX</dc:creator>
  <cp:lastModifiedBy>WIN7</cp:lastModifiedBy>
  <dcterms:modified xsi:type="dcterms:W3CDTF">2020-08-19T03:27:44Z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